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13861" w14:textId="77777777" w:rsidR="006A78F9" w:rsidRPr="00341BDA" w:rsidRDefault="006A78F9" w:rsidP="006A78F9"/>
    <w:tbl>
      <w:tblPr>
        <w:tblStyle w:val="Tablaconcuadrcula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70"/>
        <w:gridCol w:w="11"/>
        <w:gridCol w:w="1806"/>
        <w:gridCol w:w="1701"/>
        <w:gridCol w:w="75"/>
        <w:gridCol w:w="3582"/>
      </w:tblGrid>
      <w:tr w:rsidR="006A78F9" w:rsidRPr="007B1C44" w14:paraId="682ACB5F" w14:textId="77777777" w:rsidTr="005B7C84">
        <w:trPr>
          <w:trHeight w:val="531"/>
        </w:trPr>
        <w:tc>
          <w:tcPr>
            <w:tcW w:w="10745" w:type="dxa"/>
            <w:gridSpan w:val="6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73462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5FBCC6FD" w14:textId="0ADF5FD6" w:rsidR="006A78F9" w:rsidRPr="008D4579" w:rsidRDefault="006A78F9" w:rsidP="005B7C84">
            <w:pPr>
              <w:rPr>
                <w:rFonts w:cs="Arial"/>
                <w:bCs/>
                <w:color w:val="FFFFFF" w:themeColor="background1"/>
                <w:sz w:val="28"/>
                <w:szCs w:val="28"/>
              </w:rPr>
            </w:pPr>
            <w:r w:rsidRPr="008D4579">
              <w:rPr>
                <w:rFonts w:cs="Arial"/>
                <w:bCs/>
                <w:color w:val="FFFFFF" w:themeColor="background1"/>
                <w:sz w:val="28"/>
                <w:szCs w:val="28"/>
              </w:rPr>
              <w:t>University of Washington Self-Efficacy Scale</w:t>
            </w:r>
            <w:r w:rsidR="00B560E0" w:rsidRPr="008D4579">
              <w:rPr>
                <w:rFonts w:cs="Arial"/>
                <w:bCs/>
                <w:color w:val="FFFFFF" w:themeColor="background1"/>
                <w:sz w:val="28"/>
                <w:szCs w:val="28"/>
              </w:rPr>
              <w:t xml:space="preserve"> Short Form</w:t>
            </w:r>
            <w:r w:rsidRPr="008D4579">
              <w:rPr>
                <w:rFonts w:cs="Arial"/>
                <w:bCs/>
                <w:color w:val="FFFFFF" w:themeColor="background1"/>
                <w:sz w:val="28"/>
                <w:szCs w:val="28"/>
              </w:rPr>
              <w:t xml:space="preserve"> (UW-SES-6)</w:t>
            </w:r>
          </w:p>
        </w:tc>
      </w:tr>
      <w:tr w:rsidR="006A78F9" w:rsidRPr="007B1C44" w14:paraId="54E6533B" w14:textId="77777777" w:rsidTr="005B7C84">
        <w:trPr>
          <w:trHeight w:val="416"/>
        </w:trPr>
        <w:tc>
          <w:tcPr>
            <w:tcW w:w="10745" w:type="dxa"/>
            <w:gridSpan w:val="6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4CC8F831" w14:textId="77777777" w:rsidR="006A78F9" w:rsidRPr="00435799" w:rsidRDefault="006A78F9" w:rsidP="005B7C84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Assessment </w:t>
            </w:r>
            <w:r w:rsidRPr="00435799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Overview</w:t>
            </w:r>
          </w:p>
        </w:tc>
      </w:tr>
      <w:tr w:rsidR="006A78F9" w:rsidRPr="007B1C44" w14:paraId="367503D3" w14:textId="77777777" w:rsidTr="005B7C84">
        <w:trPr>
          <w:trHeight w:val="1701"/>
        </w:trPr>
        <w:tc>
          <w:tcPr>
            <w:tcW w:w="3570" w:type="dxa"/>
            <w:tcBorders>
              <w:top w:val="single" w:sz="12" w:space="0" w:color="FFFFFF"/>
              <w:left w:val="nil"/>
              <w:bottom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313D9B3" w14:textId="77777777" w:rsidR="006A78F9" w:rsidRPr="002A0AFB" w:rsidRDefault="006A78F9" w:rsidP="005B7C84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Assessment Area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6A78F9" w:rsidRPr="007B1C44" w14:paraId="0EBC6CE8" w14:textId="77777777" w:rsidTr="005B7C84">
              <w:trPr>
                <w:trHeight w:val="184"/>
              </w:trPr>
              <w:tc>
                <w:tcPr>
                  <w:tcW w:w="3243" w:type="dxa"/>
                  <w:shd w:val="clear" w:color="auto" w:fill="FFFFFF" w:themeFill="background1"/>
                </w:tcPr>
                <w:p w14:paraId="4B9364A5" w14:textId="77777777" w:rsidR="006A78F9" w:rsidRDefault="006A78F9" w:rsidP="005B7C84">
                  <w:pPr>
                    <w:rPr>
                      <w:b/>
                      <w:lang w:val="en-US"/>
                    </w:rPr>
                  </w:pPr>
                  <w:r w:rsidRPr="007E7FD8">
                    <w:rPr>
                      <w:b/>
                      <w:lang w:val="en-US"/>
                    </w:rPr>
                    <w:t>ICF Domain:</w:t>
                  </w:r>
                </w:p>
                <w:p w14:paraId="7088E5C1" w14:textId="51D3C2F3" w:rsidR="006A78F9" w:rsidRDefault="00B560E0" w:rsidP="005B7C8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Activities and Participation</w:t>
                  </w:r>
                </w:p>
                <w:p w14:paraId="4EE318D2" w14:textId="77777777" w:rsidR="006A78F9" w:rsidRPr="00F11E09" w:rsidRDefault="006A78F9" w:rsidP="005B7C84">
                  <w:pPr>
                    <w:rPr>
                      <w:b/>
                      <w:lang w:val="en-US"/>
                    </w:rPr>
                  </w:pPr>
                  <w:r w:rsidRPr="00F11E09">
                    <w:rPr>
                      <w:b/>
                      <w:lang w:val="en-US"/>
                    </w:rPr>
                    <w:t>Subcategory:</w:t>
                  </w:r>
                </w:p>
                <w:p w14:paraId="793C05EE" w14:textId="2C1EA09C" w:rsidR="006A78F9" w:rsidRPr="00325E32" w:rsidRDefault="00B560E0" w:rsidP="005B7C84">
                  <w:pPr>
                    <w:spacing w:after="0" w:line="240" w:lineRule="auto"/>
                    <w:rPr>
                      <w:rFonts w:ascii="Calibri" w:eastAsia="Times New Roman" w:hAnsi="Calibri"/>
                      <w:lang w:eastAsia="en-US"/>
                    </w:rPr>
                  </w:pPr>
                  <w:r>
                    <w:rPr>
                      <w:rFonts w:ascii="Calibri" w:hAnsi="Calibri" w:cs="Arial"/>
                      <w:color w:val="333333"/>
                      <w:shd w:val="clear" w:color="auto" w:fill="FFFFFF"/>
                    </w:rPr>
                    <w:t>Major Life Areas</w:t>
                  </w:r>
                </w:p>
              </w:tc>
            </w:tr>
          </w:tbl>
          <w:p w14:paraId="6DAAB40E" w14:textId="77777777" w:rsidR="006A78F9" w:rsidRPr="007B1C44" w:rsidRDefault="006A78F9" w:rsidP="005B7C84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5"/>
            <w:vMerge w:val="restart"/>
            <w:tcBorders>
              <w:top w:val="single" w:sz="12" w:space="0" w:color="FFFFFF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8CA6AA2" w14:textId="77777777" w:rsidR="006A78F9" w:rsidRPr="002A0AFB" w:rsidRDefault="006A78F9" w:rsidP="005B7C84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Summary</w:t>
            </w:r>
          </w:p>
          <w:tbl>
            <w:tblPr>
              <w:tblStyle w:val="Tablaconcuadrcula"/>
              <w:tblW w:w="6737" w:type="dxa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37"/>
            </w:tblGrid>
            <w:tr w:rsidR="006A78F9" w:rsidRPr="007B1C44" w14:paraId="587483A3" w14:textId="77777777" w:rsidTr="005B7C84">
              <w:trPr>
                <w:trHeight w:val="1777"/>
              </w:trPr>
              <w:tc>
                <w:tcPr>
                  <w:tcW w:w="6737" w:type="dxa"/>
                  <w:shd w:val="clear" w:color="auto" w:fill="FFFFFF" w:themeFill="background1"/>
                </w:tcPr>
                <w:p w14:paraId="1FB146E9" w14:textId="3D4CC227" w:rsidR="00D82FF1" w:rsidRDefault="00A75568" w:rsidP="005B7C84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The </w:t>
                  </w:r>
                  <w:r w:rsidR="008D4579">
                    <w:rPr>
                      <w:lang w:val="en-US"/>
                    </w:rPr>
                    <w:t>University of Washington Self-Efficacy Scale Short Form (</w:t>
                  </w:r>
                  <w:r>
                    <w:rPr>
                      <w:lang w:val="en-US"/>
                    </w:rPr>
                    <w:t>UW-SES-6</w:t>
                  </w:r>
                  <w:r w:rsidR="008D4579">
                    <w:rPr>
                      <w:lang w:val="en-US"/>
                    </w:rPr>
                    <w:t>)</w:t>
                  </w:r>
                  <w:r>
                    <w:rPr>
                      <w:lang w:val="en-US"/>
                    </w:rPr>
                    <w:t xml:space="preserve"> is a short-form scale that measures the ability of patients with chronic conditions to deal with challenges related to those chronic conditions. </w:t>
                  </w:r>
                </w:p>
                <w:p w14:paraId="0DC343FE" w14:textId="77777777" w:rsidR="00D82FF1" w:rsidRDefault="00D82FF1" w:rsidP="005B7C84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14:paraId="57544F56" w14:textId="4A223280" w:rsidR="006A78F9" w:rsidRPr="00325E32" w:rsidRDefault="00D82FF1" w:rsidP="005B7C84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Questions on the short form scale ask patients with chronic conditions about </w:t>
                  </w:r>
                  <w:r w:rsidR="00CF04B3">
                    <w:rPr>
                      <w:lang w:val="en-US"/>
                    </w:rPr>
                    <w:t>how their conditions affect their social life, physical health, mental health, as well as other factors.</w:t>
                  </w:r>
                </w:p>
              </w:tc>
            </w:tr>
          </w:tbl>
          <w:p w14:paraId="08EAE58D" w14:textId="77777777" w:rsidR="006A78F9" w:rsidRPr="007B1C44" w:rsidRDefault="006A78F9" w:rsidP="005B7C84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6A78F9" w:rsidRPr="007B1C44" w14:paraId="56CB19FD" w14:textId="77777777" w:rsidTr="005B7C84">
        <w:trPr>
          <w:trHeight w:val="1927"/>
        </w:trPr>
        <w:tc>
          <w:tcPr>
            <w:tcW w:w="3570" w:type="dxa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22098EF" w14:textId="77777777" w:rsidR="006A78F9" w:rsidRPr="002A0AFB" w:rsidRDefault="006A78F9" w:rsidP="005B7C84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You Will Need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6A78F9" w:rsidRPr="007B1C44" w14:paraId="1520ACC2" w14:textId="77777777" w:rsidTr="005B7C84">
              <w:trPr>
                <w:trHeight w:val="1570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797D626" w14:textId="77777777" w:rsidR="006A78F9" w:rsidRDefault="006A78F9" w:rsidP="005B7C84">
                  <w:pPr>
                    <w:rPr>
                      <w:rFonts w:cs="Arial"/>
                      <w:b/>
                    </w:rPr>
                  </w:pPr>
                  <w:r w:rsidRPr="002A0AFB">
                    <w:rPr>
                      <w:rFonts w:cs="Arial"/>
                      <w:b/>
                    </w:rPr>
                    <w:t xml:space="preserve">Length: </w:t>
                  </w:r>
                </w:p>
                <w:p w14:paraId="02315350" w14:textId="215E6228" w:rsidR="006A78F9" w:rsidRDefault="00CC5AE3" w:rsidP="005B7C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 items (long form is 1</w:t>
                  </w:r>
                  <w:r w:rsidR="00F61B14">
                    <w:rPr>
                      <w:rFonts w:cs="Arial"/>
                    </w:rPr>
                    <w:t>9</w:t>
                  </w:r>
                  <w:r>
                    <w:rPr>
                      <w:rFonts w:cs="Arial"/>
                    </w:rPr>
                    <w:t xml:space="preserve"> items)</w:t>
                  </w:r>
                </w:p>
                <w:p w14:paraId="5D53F2AF" w14:textId="5CF6C6B1" w:rsidR="006A78F9" w:rsidRDefault="006A78F9" w:rsidP="005B7C84">
                  <w:pPr>
                    <w:rPr>
                      <w:rFonts w:cs="Arial"/>
                    </w:rPr>
                  </w:pPr>
                  <w:r w:rsidRPr="00544920">
                    <w:rPr>
                      <w:rFonts w:cs="Arial"/>
                      <w:b/>
                    </w:rPr>
                    <w:t>Scoring</w:t>
                  </w:r>
                  <w:r>
                    <w:rPr>
                      <w:rFonts w:cs="Arial"/>
                      <w:b/>
                    </w:rPr>
                    <w:t>:</w:t>
                  </w:r>
                </w:p>
                <w:p w14:paraId="789206ED" w14:textId="7B4D1B70" w:rsidR="006A78F9" w:rsidRPr="00DE4D56" w:rsidRDefault="008A1167" w:rsidP="005B7C84">
                  <w:pPr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Each of the six responses are scored from 1 (“not at all”) to 5 (“completely”)</w:t>
                  </w:r>
                  <w:r w:rsidR="00D13B84">
                    <w:rPr>
                      <w:rFonts w:cs="Arial"/>
                      <w:lang w:val="en-US"/>
                    </w:rPr>
                    <w:t>. The sum of the response scores is then scaled to a T-score</w:t>
                  </w:r>
                  <w:r w:rsidR="002E4794">
                    <w:rPr>
                      <w:rFonts w:cs="Arial"/>
                      <w:lang w:val="en-US"/>
                    </w:rPr>
                    <w:t>, a normal distribution with a mean of 50 and a standard deviation of 10</w:t>
                  </w:r>
                  <w:r w:rsidR="00C9005A">
                    <w:rPr>
                      <w:rFonts w:cs="Arial"/>
                      <w:lang w:val="en-US"/>
                    </w:rPr>
                    <w:t xml:space="preserve"> for patients with chronic conditions</w:t>
                  </w:r>
                  <w:r w:rsidR="004B6AB4">
                    <w:rPr>
                      <w:rFonts w:cs="Arial"/>
                      <w:lang w:val="en-US"/>
                    </w:rPr>
                    <w:t>.</w:t>
                  </w:r>
                </w:p>
              </w:tc>
            </w:tr>
          </w:tbl>
          <w:p w14:paraId="21904F4B" w14:textId="77777777" w:rsidR="006A78F9" w:rsidRPr="007B1C44" w:rsidRDefault="006A78F9" w:rsidP="005B7C84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  <w:tc>
          <w:tcPr>
            <w:tcW w:w="7175" w:type="dxa"/>
            <w:gridSpan w:val="5"/>
            <w:vMerge/>
            <w:tcBorders>
              <w:top w:val="nil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383EA84B" w14:textId="77777777" w:rsidR="006A78F9" w:rsidRPr="007B1C44" w:rsidRDefault="006A78F9" w:rsidP="005B7C84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</w:tr>
      <w:tr w:rsidR="006A78F9" w:rsidRPr="007B1C44" w14:paraId="2BD8C6D7" w14:textId="77777777" w:rsidTr="005B7C84">
        <w:trPr>
          <w:trHeight w:val="1985"/>
        </w:trPr>
        <w:tc>
          <w:tcPr>
            <w:tcW w:w="3570" w:type="dxa"/>
            <w:vMerge/>
            <w:tcBorders>
              <w:left w:val="nil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8B0E975" w14:textId="77777777" w:rsidR="006A78F9" w:rsidRPr="007B1C44" w:rsidRDefault="006A78F9" w:rsidP="005B7C84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5"/>
            <w:tcBorders>
              <w:top w:val="nil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5F91295" w14:textId="77777777" w:rsidR="006A78F9" w:rsidRPr="002A0AFB" w:rsidRDefault="006A78F9" w:rsidP="005B7C84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 xml:space="preserve">Availability 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26"/>
            </w:tblGrid>
            <w:tr w:rsidR="006A78F9" w:rsidRPr="007B1C44" w14:paraId="70B15490" w14:textId="77777777" w:rsidTr="005B7C84">
              <w:trPr>
                <w:trHeight w:val="460"/>
              </w:trPr>
              <w:tc>
                <w:tcPr>
                  <w:tcW w:w="6726" w:type="dxa"/>
                  <w:shd w:val="clear" w:color="auto" w:fill="FFFFFF" w:themeFill="background1"/>
                </w:tcPr>
                <w:p w14:paraId="2D9F5CC6" w14:textId="344DE6E7" w:rsidR="008D4579" w:rsidRDefault="00093AA0" w:rsidP="008D4579">
                  <w:r w:rsidRPr="00093AA0">
                    <w:rPr>
                      <w:b/>
                      <w:bCs/>
                    </w:rPr>
                    <w:t>Worksheet:</w:t>
                  </w:r>
                  <w:r>
                    <w:t xml:space="preserve"> </w:t>
                  </w:r>
                  <w:r w:rsidR="008D4579">
                    <w:t xml:space="preserve">Can be found </w:t>
                  </w:r>
                  <w:hyperlink r:id="rId4" w:history="1">
                    <w:r w:rsidR="008D4579" w:rsidRPr="008D4579">
                      <w:rPr>
                        <w:rStyle w:val="Hipervnculo"/>
                      </w:rPr>
                      <w:t>here</w:t>
                    </w:r>
                  </w:hyperlink>
                  <w:r w:rsidR="008D4579">
                    <w:t>.</w:t>
                  </w:r>
                </w:p>
                <w:p w14:paraId="7F4AB93D" w14:textId="0D2A8BB7" w:rsidR="00B67D18" w:rsidRPr="004609AA" w:rsidRDefault="00D13B84" w:rsidP="005B7C84">
                  <w:r>
                    <w:t xml:space="preserve"> </w:t>
                  </w:r>
                  <w:r w:rsidR="00B67D18">
                    <w:t xml:space="preserve"> </w:t>
                  </w:r>
                </w:p>
              </w:tc>
            </w:tr>
          </w:tbl>
          <w:p w14:paraId="5E061ECF" w14:textId="77777777" w:rsidR="006A78F9" w:rsidRPr="007B1C44" w:rsidRDefault="006A78F9" w:rsidP="005B7C84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6A78F9" w:rsidRPr="007B1C44" w14:paraId="578F911A" w14:textId="77777777" w:rsidTr="005B7C84">
        <w:trPr>
          <w:trHeight w:val="472"/>
        </w:trPr>
        <w:tc>
          <w:tcPr>
            <w:tcW w:w="10745" w:type="dxa"/>
            <w:gridSpan w:val="6"/>
            <w:tcBorders>
              <w:top w:val="single" w:sz="12" w:space="0" w:color="FFFFFF"/>
              <w:left w:val="single" w:sz="12" w:space="0" w:color="FFFFFF"/>
              <w:bottom w:val="single" w:sz="8" w:space="0" w:color="FFFFFF" w:themeColor="background1"/>
              <w:right w:val="nil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3650DF34" w14:textId="77777777" w:rsidR="006A78F9" w:rsidRPr="007B1C44" w:rsidRDefault="006A78F9" w:rsidP="005B7C84">
            <w:pPr>
              <w:rPr>
                <w:rFonts w:cs="Arial"/>
                <w:b/>
                <w:szCs w:val="24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>Assessment Interpretability</w:t>
            </w:r>
          </w:p>
        </w:tc>
      </w:tr>
      <w:tr w:rsidR="006A78F9" w:rsidRPr="007B1C44" w14:paraId="2BACB46A" w14:textId="77777777" w:rsidTr="008D4579">
        <w:trPr>
          <w:trHeight w:val="4992"/>
        </w:trPr>
        <w:tc>
          <w:tcPr>
            <w:tcW w:w="3570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142" w:type="dxa"/>
              <w:left w:w="142" w:type="dxa"/>
              <w:bottom w:w="85" w:type="dxa"/>
              <w:right w:w="142" w:type="dxa"/>
            </w:tcMar>
          </w:tcPr>
          <w:p w14:paraId="39BE69AA" w14:textId="77777777" w:rsidR="006A78F9" w:rsidRPr="002A0AFB" w:rsidRDefault="006A78F9" w:rsidP="005B7C84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Minimal Clinically Important Difference</w:t>
            </w:r>
          </w:p>
          <w:tbl>
            <w:tblPr>
              <w:tblStyle w:val="Tablaconcuadrcula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6A78F9" w:rsidRPr="007B1C44" w14:paraId="661FFD04" w14:textId="77777777" w:rsidTr="005B7C84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8E862B7" w14:textId="77777777" w:rsidR="006A78F9" w:rsidRPr="00A43BFA" w:rsidRDefault="006A78F9" w:rsidP="005B7C84">
                  <w:pPr>
                    <w:pStyle w:val="Subttulo"/>
                    <w:rPr>
                      <w:sz w:val="22"/>
                      <w:shd w:val="clear" w:color="auto" w:fill="FFFFFF"/>
                      <w:lang w:val="en-US"/>
                    </w:rPr>
                  </w:pPr>
                  <w:r>
                    <w:rPr>
                      <w:sz w:val="22"/>
                      <w:shd w:val="clear" w:color="auto" w:fill="FFFFFF"/>
                      <w:lang w:val="en-US"/>
                    </w:rPr>
                    <w:t>Not established in SCI</w:t>
                  </w:r>
                </w:p>
              </w:tc>
            </w:tr>
          </w:tbl>
          <w:p w14:paraId="743A69ED" w14:textId="77777777" w:rsidR="006A78F9" w:rsidRPr="007B1C44" w:rsidRDefault="006A78F9" w:rsidP="005B7C84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518" w:type="dxa"/>
            <w:gridSpan w:val="3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66CEAADC" w14:textId="5D33EC9B" w:rsidR="006A78F9" w:rsidRPr="00A43BFA" w:rsidRDefault="006A78F9" w:rsidP="005B7C84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>Statistical Error</w:t>
            </w:r>
          </w:p>
          <w:tbl>
            <w:tblPr>
              <w:tblStyle w:val="Tablaconcuadrcula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17"/>
            </w:tblGrid>
            <w:tr w:rsidR="006A78F9" w:rsidRPr="007B1C44" w14:paraId="6C57D1F4" w14:textId="77777777" w:rsidTr="005B7C84">
              <w:trPr>
                <w:trHeight w:val="1134"/>
              </w:trPr>
              <w:tc>
                <w:tcPr>
                  <w:tcW w:w="3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right w:w="142" w:type="dxa"/>
                  </w:tcMar>
                </w:tcPr>
                <w:p w14:paraId="217DA60C" w14:textId="77777777" w:rsidR="006A78F9" w:rsidRPr="00A43BFA" w:rsidRDefault="006A78F9" w:rsidP="005B7C84">
                  <w:pPr>
                    <w:pStyle w:val="Subttulo"/>
                    <w:rPr>
                      <w:sz w:val="22"/>
                    </w:rPr>
                  </w:pPr>
                  <w:r>
                    <w:rPr>
                      <w:sz w:val="22"/>
                    </w:rPr>
                    <w:t>Not established in SCI</w:t>
                  </w:r>
                </w:p>
              </w:tc>
            </w:tr>
          </w:tbl>
          <w:p w14:paraId="001E754E" w14:textId="77777777" w:rsidR="006A78F9" w:rsidRPr="007B1C44" w:rsidRDefault="006A78F9" w:rsidP="005B7C84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657" w:type="dxa"/>
            <w:gridSpan w:val="2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B86E7F6" w14:textId="77777777" w:rsidR="006A78F9" w:rsidRPr="00A841C2" w:rsidRDefault="006A78F9" w:rsidP="005B7C84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>Typical</w:t>
            </w: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 xml:space="preserve"> Values</w:t>
            </w:r>
          </w:p>
          <w:tbl>
            <w:tblPr>
              <w:tblStyle w:val="Tablaconcuadrcula"/>
              <w:tblW w:w="3243" w:type="dxa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6A78F9" w:rsidRPr="007B1C44" w14:paraId="104C37A7" w14:textId="77777777" w:rsidTr="005B7C84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FB4A5DF" w14:textId="2F120599" w:rsidR="006A78F9" w:rsidRPr="006A78F9" w:rsidRDefault="006A78F9" w:rsidP="005B7C84">
                  <w:pPr>
                    <w:rPr>
                      <w:rFonts w:ascii="Calibri" w:hAnsi="Calibri" w:cs="Calibri"/>
                      <w:color w:val="000000"/>
                      <w:shd w:val="clear" w:color="auto" w:fill="FFFFFF"/>
                      <w:lang w:val="en-US"/>
                    </w:rPr>
                  </w:pPr>
                  <w:r w:rsidRPr="00F134BD">
                    <w:rPr>
                      <w:rFonts w:ascii="Calibri" w:hAnsi="Calibri" w:cs="Calibri"/>
                      <w:color w:val="000000"/>
                      <w:shd w:val="clear" w:color="auto" w:fill="FFFFFF"/>
                      <w:lang w:val="en-US"/>
                    </w:rPr>
                    <w:t>Not established in SCI</w:t>
                  </w:r>
                </w:p>
              </w:tc>
            </w:tr>
          </w:tbl>
          <w:p w14:paraId="67A87A44" w14:textId="77777777" w:rsidR="006A78F9" w:rsidRDefault="006A78F9" w:rsidP="005B7C84">
            <w:pPr>
              <w:rPr>
                <w:rFonts w:cs="Arial"/>
                <w:color w:val="FFFFFF" w:themeColor="background1"/>
                <w:sz w:val="21"/>
              </w:rPr>
            </w:pPr>
          </w:p>
          <w:p w14:paraId="2EF63161" w14:textId="77777777" w:rsidR="00BB2345" w:rsidRDefault="00BB2345" w:rsidP="005B7C84">
            <w:pPr>
              <w:rPr>
                <w:rFonts w:cs="Arial"/>
                <w:color w:val="FFFFFF" w:themeColor="background1"/>
                <w:sz w:val="21"/>
              </w:rPr>
            </w:pPr>
          </w:p>
          <w:p w14:paraId="306897E7" w14:textId="77777777" w:rsidR="00BB2345" w:rsidRDefault="00BB2345" w:rsidP="005B7C84">
            <w:pPr>
              <w:rPr>
                <w:rFonts w:cs="Arial"/>
                <w:color w:val="FFFFFF" w:themeColor="background1"/>
                <w:sz w:val="21"/>
              </w:rPr>
            </w:pPr>
          </w:p>
          <w:p w14:paraId="5F271448" w14:textId="77777777" w:rsidR="00BB2345" w:rsidRDefault="00BB2345" w:rsidP="005B7C84">
            <w:pPr>
              <w:rPr>
                <w:rFonts w:cs="Arial"/>
                <w:color w:val="FFFFFF" w:themeColor="background1"/>
                <w:sz w:val="21"/>
              </w:rPr>
            </w:pPr>
          </w:p>
          <w:p w14:paraId="56FFBAC3" w14:textId="25EF0F34" w:rsidR="00BB2345" w:rsidRPr="007B1C44" w:rsidRDefault="00BB2345" w:rsidP="005B7C84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6A78F9" w:rsidRPr="007B1C44" w14:paraId="4F8B2C88" w14:textId="77777777" w:rsidTr="005B7C84">
        <w:trPr>
          <w:trHeight w:val="640"/>
        </w:trPr>
        <w:tc>
          <w:tcPr>
            <w:tcW w:w="10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1B921DBA" w14:textId="77777777" w:rsidR="006A78F9" w:rsidRPr="002A0AFB" w:rsidRDefault="006A78F9" w:rsidP="005B7C84">
            <w:pPr>
              <w:rPr>
                <w:rFonts w:cs="Arial"/>
                <w:b/>
                <w:color w:val="FFFFFF" w:themeColor="background1"/>
                <w:sz w:val="28"/>
                <w:szCs w:val="24"/>
              </w:rPr>
            </w:pPr>
            <w:r>
              <w:rPr>
                <w:rFonts w:cs="Arial"/>
                <w:sz w:val="21"/>
              </w:rPr>
              <w:lastRenderedPageBreak/>
              <w:br w:type="page"/>
            </w:r>
            <w:r w:rsidRPr="002A0AFB">
              <w:rPr>
                <w:rFonts w:cs="Arial"/>
                <w:b/>
                <w:color w:val="FFFFFF" w:themeColor="background1"/>
                <w:sz w:val="28"/>
                <w:szCs w:val="28"/>
              </w:rPr>
              <w:t>Measurement Properties</w:t>
            </w:r>
          </w:p>
        </w:tc>
      </w:tr>
      <w:tr w:rsidR="006A78F9" w:rsidRPr="007B1C44" w14:paraId="07FB9ABF" w14:textId="77777777" w:rsidTr="005B7C84">
        <w:trPr>
          <w:trHeight w:val="7028"/>
        </w:trPr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29382D95" w14:textId="03DC7666" w:rsidR="006A78F9" w:rsidRPr="00D13B84" w:rsidRDefault="006A78F9" w:rsidP="005B7C84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00B05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Validity</w:t>
            </w:r>
            <w:r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</w:t>
            </w:r>
            <w:r>
              <w:rPr>
                <w:rFonts w:cs="Arial"/>
                <w:b/>
                <w:color w:val="FF0000"/>
                <w:sz w:val="26"/>
                <w:szCs w:val="26"/>
              </w:rPr>
              <w:t xml:space="preserve"> </w:t>
            </w:r>
            <w:r w:rsidR="00D13B84">
              <w:rPr>
                <w:rFonts w:cs="Arial"/>
                <w:b/>
                <w:color w:val="00B050"/>
                <w:sz w:val="26"/>
                <w:szCs w:val="26"/>
              </w:rPr>
              <w:t>High (in groups mixed with SCI and MS patients)</w:t>
            </w:r>
          </w:p>
          <w:tbl>
            <w:tblPr>
              <w:tblStyle w:val="Tablaconcuadrcula"/>
              <w:tblW w:w="5111" w:type="dxa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111"/>
            </w:tblGrid>
            <w:tr w:rsidR="006A78F9" w:rsidRPr="002A0AFB" w14:paraId="1C99BA99" w14:textId="77777777" w:rsidTr="005B7C84">
              <w:trPr>
                <w:trHeight w:val="4634"/>
              </w:trPr>
              <w:tc>
                <w:tcPr>
                  <w:tcW w:w="5111" w:type="dxa"/>
                  <w:shd w:val="clear" w:color="auto" w:fill="FFFFFF" w:themeFill="background1"/>
                  <w:tcMar>
                    <w:top w:w="113" w:type="dxa"/>
                    <w:bottom w:w="57" w:type="dxa"/>
                  </w:tcMar>
                </w:tcPr>
                <w:p w14:paraId="76DDFD62" w14:textId="55E2E7D0" w:rsidR="006A78F9" w:rsidRPr="008D4579" w:rsidRDefault="00AF2099" w:rsidP="008D4579">
                  <w:pPr>
                    <w:spacing w:before="120" w:after="120" w:line="240" w:lineRule="auto"/>
                    <w:rPr>
                      <w:iCs/>
                      <w:lang w:val="en-US"/>
                    </w:rPr>
                  </w:pPr>
                  <w:r w:rsidRPr="008D4579">
                    <w:rPr>
                      <w:b/>
                      <w:iCs/>
                      <w:color w:val="00B050"/>
                      <w:lang w:val="en-US"/>
                    </w:rPr>
                    <w:t>High</w:t>
                  </w:r>
                  <w:r w:rsidRPr="008D4579">
                    <w:rPr>
                      <w:iCs/>
                      <w:color w:val="00B050"/>
                      <w:lang w:val="en-US"/>
                    </w:rPr>
                    <w:t xml:space="preserve"> </w:t>
                  </w:r>
                  <w:r w:rsidRPr="008D4579">
                    <w:rPr>
                      <w:b/>
                      <w:iCs/>
                      <w:lang w:val="en-US"/>
                    </w:rPr>
                    <w:t>Correlation with Chronic Disease Self-Efficacy 6-Item Scale</w:t>
                  </w:r>
                  <w:r w:rsidR="0022459D" w:rsidRPr="008D4579">
                    <w:rPr>
                      <w:b/>
                      <w:iCs/>
                      <w:lang w:val="en-US"/>
                    </w:rPr>
                    <w:t xml:space="preserve"> (in study with participants with either SCI or MS)</w:t>
                  </w:r>
                  <w:r w:rsidRPr="008D4579">
                    <w:rPr>
                      <w:b/>
                      <w:iCs/>
                      <w:lang w:val="en-US"/>
                    </w:rPr>
                    <w:t>:</w:t>
                  </w:r>
                </w:p>
                <w:p w14:paraId="3C40B4DB" w14:textId="64025D00" w:rsidR="00AF2099" w:rsidRPr="008D4579" w:rsidRDefault="00AF2099" w:rsidP="008D4579">
                  <w:pPr>
                    <w:spacing w:before="120" w:after="120" w:line="240" w:lineRule="auto"/>
                    <w:rPr>
                      <w:rFonts w:ascii="Calibri" w:hAnsi="Calibri" w:cs="Calibri"/>
                      <w:iCs/>
                      <w:lang w:val="en-US"/>
                    </w:rPr>
                  </w:pPr>
                  <w:r w:rsidRPr="008D4579">
                    <w:rPr>
                      <w:iCs/>
                      <w:lang w:val="en-US"/>
                    </w:rPr>
                    <w:t>r=0.81</w:t>
                  </w:r>
                </w:p>
                <w:p w14:paraId="49B6A948" w14:textId="167A281B" w:rsidR="00AF2099" w:rsidRPr="008D4579" w:rsidRDefault="00AF2099" w:rsidP="008D4579">
                  <w:pPr>
                    <w:spacing w:before="120" w:after="120" w:line="240" w:lineRule="auto"/>
                    <w:rPr>
                      <w:rFonts w:ascii="Calibri" w:eastAsia="MS Gothic" w:hAnsi="Calibri" w:cs="Calibri"/>
                      <w:iCs/>
                      <w:sz w:val="16"/>
                      <w:szCs w:val="16"/>
                    </w:rPr>
                  </w:pPr>
                  <w:r w:rsidRPr="008D4579">
                    <w:rPr>
                      <w:rFonts w:ascii="Calibri" w:hAnsi="Calibri" w:cs="Calibri"/>
                      <w:iCs/>
                      <w:sz w:val="16"/>
                      <w:szCs w:val="16"/>
                      <w:lang w:val="en-US"/>
                    </w:rPr>
                    <w:t>(</w:t>
                  </w:r>
                  <w:proofErr w:type="spellStart"/>
                  <w:r w:rsidR="0022459D" w:rsidRPr="008D4579">
                    <w:rPr>
                      <w:rFonts w:ascii="Calibri" w:hAnsi="Calibri" w:cs="Calibri"/>
                      <w:iCs/>
                      <w:sz w:val="16"/>
                      <w:szCs w:val="16"/>
                      <w:lang w:val="en-US"/>
                    </w:rPr>
                    <w:t>Amtmann</w:t>
                  </w:r>
                  <w:proofErr w:type="spellEnd"/>
                  <w:r w:rsidR="0022459D" w:rsidRPr="008D4579">
                    <w:rPr>
                      <w:rFonts w:ascii="Calibri" w:hAnsi="Calibri" w:cs="Calibri"/>
                      <w:iCs/>
                      <w:sz w:val="16"/>
                      <w:szCs w:val="16"/>
                      <w:lang w:val="en-US"/>
                    </w:rPr>
                    <w:t xml:space="preserve"> et al. 2012; n=726, </w:t>
                  </w:r>
                  <w:r w:rsidR="0072136E" w:rsidRPr="008D4579">
                    <w:rPr>
                      <w:rFonts w:ascii="Calibri" w:hAnsi="Calibri" w:cs="Calibri"/>
                      <w:iCs/>
                      <w:sz w:val="16"/>
                      <w:szCs w:val="16"/>
                      <w:lang w:val="en-US"/>
                    </w:rPr>
                    <w:t xml:space="preserve">473 with MS, 253 with SCI, </w:t>
                  </w:r>
                  <w:r w:rsidR="0072136E" w:rsidRPr="008D4579">
                    <w:rPr>
                      <w:rFonts w:ascii="Calibri" w:eastAsia="MS Gothic" w:hAnsi="Calibri" w:cs="Calibri"/>
                      <w:iCs/>
                      <w:sz w:val="16"/>
                      <w:szCs w:val="16"/>
                    </w:rPr>
                    <w:t xml:space="preserve">age SCI group </w:t>
                  </w:r>
                  <w:r w:rsidR="0072136E" w:rsidRPr="008D4579">
                    <w:rPr>
                      <w:rFonts w:ascii="Calibri" w:hAnsi="Calibri" w:cs="Calibri"/>
                      <w:iCs/>
                      <w:sz w:val="16"/>
                      <w:szCs w:val="16"/>
                    </w:rPr>
                    <w:t>(</w:t>
                  </w:r>
                  <w:r w:rsidR="0072136E" w:rsidRPr="008D4579">
                    <w:rPr>
                      <w:rFonts w:ascii="Calibri" w:eastAsia="MS Gothic" w:hAnsi="Calibri" w:cs="Calibri"/>
                      <w:iCs/>
                      <w:sz w:val="16"/>
                      <w:szCs w:val="16"/>
                    </w:rPr>
                    <w:t xml:space="preserve">±SD): 47.1 </w:t>
                  </w:r>
                  <w:r w:rsidR="0072136E" w:rsidRPr="008D4579">
                    <w:rPr>
                      <w:rFonts w:ascii="Calibri" w:hAnsi="Calibri" w:cs="Calibri"/>
                      <w:iCs/>
                      <w:sz w:val="16"/>
                      <w:szCs w:val="16"/>
                    </w:rPr>
                    <w:t>(</w:t>
                  </w:r>
                  <w:r w:rsidR="0072136E" w:rsidRPr="008D4579">
                    <w:rPr>
                      <w:rFonts w:ascii="Calibri" w:eastAsia="MS Gothic" w:hAnsi="Calibri" w:cs="Calibri"/>
                      <w:iCs/>
                      <w:sz w:val="16"/>
                      <w:szCs w:val="16"/>
                    </w:rPr>
                    <w:t>±14.3)</w:t>
                  </w:r>
                  <w:r w:rsidR="0072136E" w:rsidRPr="008D4579">
                    <w:rPr>
                      <w:rFonts w:ascii="Calibri" w:hAnsi="Calibri" w:cs="Calibri"/>
                      <w:iCs/>
                      <w:sz w:val="16"/>
                      <w:szCs w:val="16"/>
                      <w:lang w:val="en-US"/>
                    </w:rPr>
                    <w:t>)</w:t>
                  </w:r>
                </w:p>
                <w:p w14:paraId="5BF0E2AB" w14:textId="77777777" w:rsidR="006A78F9" w:rsidRPr="008D4579" w:rsidRDefault="006A78F9" w:rsidP="008D4579">
                  <w:pPr>
                    <w:spacing w:before="120" w:after="120" w:line="240" w:lineRule="auto"/>
                    <w:rPr>
                      <w:iCs/>
                      <w:sz w:val="16"/>
                      <w:szCs w:val="16"/>
                    </w:rPr>
                  </w:pPr>
                </w:p>
                <w:p w14:paraId="3D4E9E20" w14:textId="06F9E6B5" w:rsidR="006A78F9" w:rsidRPr="008D4579" w:rsidRDefault="006A78F9" w:rsidP="008D4579">
                  <w:pPr>
                    <w:spacing w:before="120" w:after="120" w:line="240" w:lineRule="auto"/>
                    <w:rPr>
                      <w:rFonts w:cs="Arial"/>
                      <w:iCs/>
                      <w:color w:val="000000"/>
                      <w:shd w:val="clear" w:color="auto" w:fill="FFFFFF"/>
                    </w:rPr>
                  </w:pPr>
                  <w:r w:rsidRPr="008D4579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Number of studies reporting validity data: </w:t>
                  </w:r>
                  <w:r w:rsidR="0072136E" w:rsidRPr="008D4579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>3</w:t>
                  </w:r>
                </w:p>
                <w:p w14:paraId="0C14FF7B" w14:textId="77777777" w:rsidR="006A78F9" w:rsidRPr="002A0AFB" w:rsidRDefault="006A78F9" w:rsidP="005B7C84">
                  <w:pPr>
                    <w:rPr>
                      <w:rFonts w:cs="Arial"/>
                      <w:b/>
                      <w:color w:val="FFFFFF" w:themeColor="background1"/>
                    </w:rPr>
                  </w:pPr>
                </w:p>
              </w:tc>
            </w:tr>
          </w:tbl>
          <w:p w14:paraId="509839CD" w14:textId="77777777" w:rsidR="006A78F9" w:rsidRPr="002A0AFB" w:rsidRDefault="006A78F9" w:rsidP="005B7C84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7AEE4C7A" w14:textId="0CC6C690" w:rsidR="006A78F9" w:rsidRPr="00D13B84" w:rsidRDefault="006A78F9" w:rsidP="005B7C84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00B05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Reliability</w:t>
            </w:r>
            <w:r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</w:t>
            </w:r>
            <w:r>
              <w:rPr>
                <w:rFonts w:cs="Arial"/>
                <w:b/>
                <w:color w:val="F0A40C"/>
                <w:sz w:val="26"/>
                <w:szCs w:val="26"/>
                <w:shd w:val="clear" w:color="auto" w:fill="FFFFFF"/>
              </w:rPr>
              <w:t xml:space="preserve"> </w:t>
            </w:r>
            <w:r w:rsidR="00D13B84">
              <w:rPr>
                <w:rFonts w:cs="Arial"/>
                <w:b/>
                <w:color w:val="00B050"/>
                <w:sz w:val="26"/>
                <w:szCs w:val="26"/>
                <w:shd w:val="clear" w:color="auto" w:fill="FFFFFF"/>
              </w:rPr>
              <w:t>High</w:t>
            </w:r>
          </w:p>
          <w:tbl>
            <w:tblPr>
              <w:tblStyle w:val="Tablaconcuadrcula"/>
              <w:tblW w:w="5228" w:type="dxa"/>
              <w:tblInd w:w="17" w:type="dxa"/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228"/>
            </w:tblGrid>
            <w:tr w:rsidR="006A78F9" w:rsidRPr="002A0AFB" w14:paraId="74BC87A1" w14:textId="77777777" w:rsidTr="005B7C84">
              <w:trPr>
                <w:trHeight w:val="1330"/>
              </w:trPr>
              <w:tc>
                <w:tcPr>
                  <w:tcW w:w="5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113" w:type="dxa"/>
                  </w:tcMar>
                </w:tcPr>
                <w:p w14:paraId="540FE0F7" w14:textId="77777777" w:rsidR="004B6AB4" w:rsidRPr="008D4579" w:rsidRDefault="004B6AB4" w:rsidP="008D4579">
                  <w:pPr>
                    <w:spacing w:before="120" w:after="120" w:line="240" w:lineRule="auto"/>
                    <w:rPr>
                      <w:iCs/>
                      <w:lang w:val="en-US"/>
                    </w:rPr>
                  </w:pPr>
                  <w:r w:rsidRPr="008D4579">
                    <w:rPr>
                      <w:b/>
                      <w:iCs/>
                      <w:color w:val="00B050"/>
                      <w:lang w:val="en-US"/>
                    </w:rPr>
                    <w:t xml:space="preserve">High </w:t>
                  </w:r>
                  <w:r w:rsidRPr="008D4579">
                    <w:rPr>
                      <w:b/>
                      <w:iCs/>
                      <w:lang w:val="en-US"/>
                    </w:rPr>
                    <w:t xml:space="preserve">Person Separation Index: </w:t>
                  </w:r>
                </w:p>
                <w:p w14:paraId="00364837" w14:textId="77777777" w:rsidR="004B6AB4" w:rsidRPr="008D4579" w:rsidRDefault="004B6AB4" w:rsidP="008D4579">
                  <w:pPr>
                    <w:spacing w:before="120" w:after="120" w:line="240" w:lineRule="auto"/>
                    <w:rPr>
                      <w:rFonts w:ascii="Calibri" w:hAnsi="Calibri" w:cs="Calibri"/>
                      <w:iCs/>
                    </w:rPr>
                  </w:pPr>
                  <w:r w:rsidRPr="008D4579">
                    <w:rPr>
                      <w:rFonts w:ascii="Calibri" w:hAnsi="Calibri" w:cs="Calibri"/>
                      <w:iCs/>
                    </w:rPr>
                    <w:t>PSI = 0.89</w:t>
                  </w:r>
                </w:p>
                <w:p w14:paraId="3D7D0959" w14:textId="04C26722" w:rsidR="004B6AB4" w:rsidRPr="008D4579" w:rsidRDefault="004B6AB4" w:rsidP="008D4579">
                  <w:pPr>
                    <w:spacing w:before="120" w:after="120" w:line="240" w:lineRule="auto"/>
                    <w:rPr>
                      <w:rFonts w:ascii="Calibri" w:eastAsia="MS Gothic" w:hAnsi="Calibri" w:cs="Calibri"/>
                      <w:iCs/>
                      <w:sz w:val="16"/>
                      <w:szCs w:val="16"/>
                    </w:rPr>
                  </w:pPr>
                  <w:r w:rsidRPr="008D4579">
                    <w:rPr>
                      <w:rFonts w:ascii="Calibri" w:hAnsi="Calibri" w:cs="Calibri"/>
                      <w:iCs/>
                      <w:sz w:val="16"/>
                      <w:szCs w:val="16"/>
                    </w:rPr>
                    <w:t>(Post et al. 2018; n=261</w:t>
                  </w:r>
                  <w:r w:rsidR="008D4579" w:rsidRPr="008D4579">
                    <w:rPr>
                      <w:rFonts w:ascii="Calibri" w:hAnsi="Calibri" w:cs="Calibri"/>
                      <w:iCs/>
                      <w:sz w:val="16"/>
                      <w:szCs w:val="16"/>
                    </w:rPr>
                    <w:t>;</w:t>
                  </w:r>
                  <w:r w:rsidRPr="008D4579">
                    <w:rPr>
                      <w:rFonts w:ascii="Calibri" w:hAnsi="Calibri" w:cs="Calibri"/>
                      <w:iCs/>
                      <w:sz w:val="16"/>
                      <w:szCs w:val="16"/>
                    </w:rPr>
                    <w:t xml:space="preserve"> </w:t>
                  </w:r>
                  <w:r w:rsidRPr="008D4579">
                    <w:rPr>
                      <w:rFonts w:ascii="Calibri" w:eastAsia="PMingLiU" w:hAnsi="Calibri" w:cs="Calibri"/>
                      <w:iCs/>
                      <w:sz w:val="16"/>
                      <w:szCs w:val="16"/>
                    </w:rPr>
                    <w:t xml:space="preserve">mean age </w:t>
                  </w:r>
                  <w:r w:rsidRPr="008D4579">
                    <w:rPr>
                      <w:rFonts w:ascii="Calibri" w:hAnsi="Calibri" w:cs="Calibri"/>
                      <w:iCs/>
                      <w:sz w:val="16"/>
                      <w:szCs w:val="16"/>
                    </w:rPr>
                    <w:t>(</w:t>
                  </w:r>
                  <w:r w:rsidRPr="008D4579">
                    <w:rPr>
                      <w:rFonts w:ascii="Calibri" w:eastAsia="MS Gothic" w:hAnsi="Calibri" w:cs="Calibri"/>
                      <w:iCs/>
                      <w:sz w:val="16"/>
                      <w:szCs w:val="16"/>
                    </w:rPr>
                    <w:t>SD): 48.5 (8.8)</w:t>
                  </w:r>
                  <w:r w:rsidR="008D4579" w:rsidRPr="008D4579">
                    <w:rPr>
                      <w:rFonts w:ascii="Calibri" w:eastAsia="MS Gothic" w:hAnsi="Calibri" w:cs="Calibri"/>
                      <w:iCs/>
                      <w:sz w:val="16"/>
                      <w:szCs w:val="16"/>
                    </w:rPr>
                    <w:t>; 39.8% tetraplegia;</w:t>
                  </w:r>
                  <w:r w:rsidRPr="008D4579">
                    <w:rPr>
                      <w:rFonts w:ascii="Calibri" w:eastAsia="MS Gothic" w:hAnsi="Calibri" w:cs="Calibri"/>
                      <w:iCs/>
                      <w:sz w:val="16"/>
                      <w:szCs w:val="16"/>
                    </w:rPr>
                    <w:t xml:space="preserve"> time since injury (SD): 24.1 (9.1) years)</w:t>
                  </w:r>
                </w:p>
                <w:p w14:paraId="231CD608" w14:textId="77777777" w:rsidR="008D4579" w:rsidRDefault="008D4579" w:rsidP="008D4579">
                  <w:pPr>
                    <w:spacing w:before="120" w:after="120" w:line="240" w:lineRule="auto"/>
                    <w:rPr>
                      <w:b/>
                      <w:iCs/>
                      <w:color w:val="00B050"/>
                      <w:lang w:val="en-US"/>
                    </w:rPr>
                  </w:pPr>
                </w:p>
                <w:p w14:paraId="05D3A7EA" w14:textId="0B5DA8AE" w:rsidR="006A78F9" w:rsidRPr="008D4579" w:rsidRDefault="0072136E" w:rsidP="008D4579">
                  <w:pPr>
                    <w:spacing w:before="120" w:after="120" w:line="240" w:lineRule="auto"/>
                    <w:rPr>
                      <w:iCs/>
                    </w:rPr>
                  </w:pPr>
                  <w:r w:rsidRPr="008D4579">
                    <w:rPr>
                      <w:b/>
                      <w:iCs/>
                      <w:color w:val="00B050"/>
                      <w:lang w:val="en-US"/>
                    </w:rPr>
                    <w:t>High</w:t>
                  </w:r>
                  <w:r w:rsidRPr="008D4579">
                    <w:rPr>
                      <w:iCs/>
                    </w:rPr>
                    <w:t xml:space="preserve"> </w:t>
                  </w:r>
                  <w:r w:rsidRPr="008D4579">
                    <w:rPr>
                      <w:b/>
                      <w:iCs/>
                    </w:rPr>
                    <w:t xml:space="preserve">Internal Consistency </w:t>
                  </w:r>
                  <w:r w:rsidRPr="008D4579">
                    <w:rPr>
                      <w:b/>
                      <w:iCs/>
                      <w:lang w:val="en-US"/>
                    </w:rPr>
                    <w:t>(in study with participants with either SCI or MS)</w:t>
                  </w:r>
                  <w:r w:rsidRPr="008D4579">
                    <w:rPr>
                      <w:b/>
                      <w:iCs/>
                    </w:rPr>
                    <w:t>:</w:t>
                  </w:r>
                </w:p>
                <w:p w14:paraId="0AFA51ED" w14:textId="324D6246" w:rsidR="0072136E" w:rsidRPr="008D4579" w:rsidRDefault="0072136E" w:rsidP="008D4579">
                  <w:pPr>
                    <w:spacing w:before="120" w:after="120" w:line="240" w:lineRule="auto"/>
                    <w:rPr>
                      <w:rFonts w:cs="Arial"/>
                      <w:iCs/>
                      <w:color w:val="000000"/>
                      <w:shd w:val="clear" w:color="auto" w:fill="FFFFFF"/>
                    </w:rPr>
                  </w:pPr>
                  <w:r w:rsidRPr="008D4579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>α = 0.90</w:t>
                  </w:r>
                </w:p>
                <w:p w14:paraId="3C4EFDBC" w14:textId="77777777" w:rsidR="0072136E" w:rsidRPr="008D4579" w:rsidRDefault="0072136E" w:rsidP="008D4579">
                  <w:pPr>
                    <w:spacing w:before="120" w:after="120" w:line="240" w:lineRule="auto"/>
                    <w:rPr>
                      <w:rFonts w:ascii="Calibri" w:eastAsia="MS Gothic" w:hAnsi="Calibri" w:cs="Calibri"/>
                      <w:iCs/>
                      <w:sz w:val="16"/>
                      <w:szCs w:val="16"/>
                    </w:rPr>
                  </w:pPr>
                  <w:r w:rsidRPr="008D4579">
                    <w:rPr>
                      <w:rFonts w:ascii="Calibri" w:hAnsi="Calibri" w:cs="Calibri"/>
                      <w:iCs/>
                      <w:sz w:val="16"/>
                      <w:szCs w:val="16"/>
                      <w:lang w:val="en-US"/>
                    </w:rPr>
                    <w:t>(</w:t>
                  </w:r>
                  <w:proofErr w:type="spellStart"/>
                  <w:r w:rsidRPr="008D4579">
                    <w:rPr>
                      <w:rFonts w:ascii="Calibri" w:hAnsi="Calibri" w:cs="Calibri"/>
                      <w:iCs/>
                      <w:sz w:val="16"/>
                      <w:szCs w:val="16"/>
                      <w:lang w:val="en-US"/>
                    </w:rPr>
                    <w:t>Amtmann</w:t>
                  </w:r>
                  <w:proofErr w:type="spellEnd"/>
                  <w:r w:rsidRPr="008D4579">
                    <w:rPr>
                      <w:rFonts w:ascii="Calibri" w:hAnsi="Calibri" w:cs="Calibri"/>
                      <w:iCs/>
                      <w:sz w:val="16"/>
                      <w:szCs w:val="16"/>
                      <w:lang w:val="en-US"/>
                    </w:rPr>
                    <w:t xml:space="preserve"> et al. 2012; n=726, 473 with MS, 253 with SCI, </w:t>
                  </w:r>
                  <w:r w:rsidRPr="008D4579">
                    <w:rPr>
                      <w:rFonts w:ascii="Calibri" w:eastAsia="MS Gothic" w:hAnsi="Calibri" w:cs="Calibri"/>
                      <w:iCs/>
                      <w:sz w:val="16"/>
                      <w:szCs w:val="16"/>
                    </w:rPr>
                    <w:t xml:space="preserve">age SCI group </w:t>
                  </w:r>
                  <w:r w:rsidRPr="008D4579">
                    <w:rPr>
                      <w:rFonts w:ascii="Calibri" w:hAnsi="Calibri" w:cs="Calibri"/>
                      <w:iCs/>
                      <w:sz w:val="16"/>
                      <w:szCs w:val="16"/>
                    </w:rPr>
                    <w:t>(</w:t>
                  </w:r>
                  <w:r w:rsidRPr="008D4579">
                    <w:rPr>
                      <w:rFonts w:ascii="Calibri" w:eastAsia="MS Gothic" w:hAnsi="Calibri" w:cs="Calibri"/>
                      <w:iCs/>
                      <w:sz w:val="16"/>
                      <w:szCs w:val="16"/>
                    </w:rPr>
                    <w:t xml:space="preserve">±SD): 47.1 </w:t>
                  </w:r>
                  <w:r w:rsidRPr="008D4579">
                    <w:rPr>
                      <w:rFonts w:ascii="Calibri" w:hAnsi="Calibri" w:cs="Calibri"/>
                      <w:iCs/>
                      <w:sz w:val="16"/>
                      <w:szCs w:val="16"/>
                    </w:rPr>
                    <w:t>(</w:t>
                  </w:r>
                  <w:r w:rsidRPr="008D4579">
                    <w:rPr>
                      <w:rFonts w:ascii="Calibri" w:eastAsia="MS Gothic" w:hAnsi="Calibri" w:cs="Calibri"/>
                      <w:iCs/>
                      <w:sz w:val="16"/>
                      <w:szCs w:val="16"/>
                    </w:rPr>
                    <w:t>±14.3)</w:t>
                  </w:r>
                  <w:r w:rsidRPr="008D4579">
                    <w:rPr>
                      <w:rFonts w:ascii="Calibri" w:hAnsi="Calibri" w:cs="Calibri"/>
                      <w:iCs/>
                      <w:sz w:val="16"/>
                      <w:szCs w:val="16"/>
                      <w:lang w:val="en-US"/>
                    </w:rPr>
                    <w:t>)</w:t>
                  </w:r>
                </w:p>
                <w:p w14:paraId="249C50D1" w14:textId="77777777" w:rsidR="00F551BD" w:rsidRPr="008D4579" w:rsidRDefault="00F551BD" w:rsidP="008D4579">
                  <w:pPr>
                    <w:spacing w:before="120" w:after="120" w:line="240" w:lineRule="auto"/>
                    <w:rPr>
                      <w:iCs/>
                    </w:rPr>
                  </w:pPr>
                </w:p>
                <w:p w14:paraId="1322B495" w14:textId="0FAA1759" w:rsidR="006A78F9" w:rsidRPr="008D4579" w:rsidRDefault="006A78F9" w:rsidP="008D4579">
                  <w:pPr>
                    <w:spacing w:before="120" w:after="120" w:line="240" w:lineRule="auto"/>
                    <w:rPr>
                      <w:rFonts w:cs="Arial"/>
                      <w:iCs/>
                      <w:color w:val="000000"/>
                      <w:shd w:val="clear" w:color="auto" w:fill="FFFFFF"/>
                    </w:rPr>
                  </w:pPr>
                  <w:r w:rsidRPr="008D4579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Number of studies reporting reliability data: </w:t>
                  </w:r>
                  <w:r w:rsidR="0072136E" w:rsidRPr="008D4579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>2</w:t>
                  </w:r>
                </w:p>
                <w:p w14:paraId="357680CF" w14:textId="77777777" w:rsidR="006A78F9" w:rsidRDefault="006A78F9" w:rsidP="005B7C84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</w:p>
                <w:p w14:paraId="1E386662" w14:textId="77777777" w:rsidR="006A78F9" w:rsidRPr="002A0AFB" w:rsidRDefault="006A78F9" w:rsidP="005B7C84">
                  <w:pPr>
                    <w:rPr>
                      <w:rFonts w:cs="Arial"/>
                      <w:color w:val="000000"/>
                      <w:shd w:val="clear" w:color="auto" w:fill="FFFFFF"/>
                      <w:vertAlign w:val="subscript"/>
                    </w:rPr>
                  </w:pPr>
                </w:p>
              </w:tc>
            </w:tr>
          </w:tbl>
          <w:p w14:paraId="7FAC1702" w14:textId="77777777" w:rsidR="006A78F9" w:rsidRPr="002A0AFB" w:rsidRDefault="006A78F9" w:rsidP="005B7C84">
            <w:pPr>
              <w:rPr>
                <w:rFonts w:cs="Arial"/>
                <w:color w:val="FFFFFF" w:themeColor="background1"/>
              </w:rPr>
            </w:pPr>
          </w:p>
        </w:tc>
      </w:tr>
      <w:tr w:rsidR="006A78F9" w:rsidRPr="00582CA3" w14:paraId="05922FDC" w14:textId="77777777" w:rsidTr="005B7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/>
        </w:trPr>
        <w:tc>
          <w:tcPr>
            <w:tcW w:w="10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5A6C3DF8" w14:textId="77777777" w:rsidR="006A78F9" w:rsidRPr="002A0AFB" w:rsidRDefault="006A78F9" w:rsidP="005B7C84">
            <w:pPr>
              <w:spacing w:after="40"/>
              <w:jc w:val="center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Responsiveness</w:t>
            </w:r>
          </w:p>
        </w:tc>
      </w:tr>
      <w:tr w:rsidR="006A78F9" w14:paraId="18B1D5E3" w14:textId="77777777" w:rsidTr="005B7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/>
        </w:trPr>
        <w:tc>
          <w:tcPr>
            <w:tcW w:w="3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442B974" w14:textId="77777777" w:rsidR="006A78F9" w:rsidRPr="002A0AFB" w:rsidRDefault="006A78F9" w:rsidP="005B7C84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>Floor/Ceiling Effect:</w:t>
            </w:r>
          </w:p>
          <w:p w14:paraId="1ED16944" w14:textId="77777777" w:rsidR="006A78F9" w:rsidRPr="006C2748" w:rsidRDefault="006A78F9" w:rsidP="005B7C84">
            <w:r w:rsidRPr="00B21518">
              <w:rPr>
                <w:shd w:val="clear" w:color="auto" w:fill="FFFFFF"/>
              </w:rPr>
              <w:t>Not established in SCI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62C00C2D" w14:textId="77777777" w:rsidR="006A78F9" w:rsidRPr="002A0AFB" w:rsidRDefault="006A78F9" w:rsidP="005B7C84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hd w:val="clear" w:color="auto" w:fill="FFFFFF"/>
              </w:rPr>
              <w:t>Effect Size</w:t>
            </w: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: </w:t>
            </w:r>
          </w:p>
          <w:p w14:paraId="7C9FF635" w14:textId="77777777" w:rsidR="006A78F9" w:rsidRPr="00096708" w:rsidRDefault="006A78F9" w:rsidP="005B7C84">
            <w:pPr>
              <w:pStyle w:val="Subttul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Not established in SCI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1FB5439F" w14:textId="19944E8D" w:rsidR="006A78F9" w:rsidRDefault="006A78F9" w:rsidP="005B7C84">
            <w:pPr>
              <w:rPr>
                <w:rFonts w:cs="Arial"/>
                <w:color w:val="000000"/>
                <w:shd w:val="clear" w:color="auto" w:fill="FFFFFF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Number of studies reporting responsiveness data: </w:t>
            </w:r>
            <w:r w:rsidR="008D4579" w:rsidRPr="008D4579">
              <w:rPr>
                <w:rFonts w:cs="Arial"/>
                <w:bCs/>
                <w:color w:val="000000"/>
                <w:shd w:val="clear" w:color="auto" w:fill="FFFFFF"/>
              </w:rPr>
              <w:t>0</w:t>
            </w:r>
          </w:p>
          <w:p w14:paraId="07EFE1B0" w14:textId="657D78E8" w:rsidR="006A78F9" w:rsidRPr="00096708" w:rsidRDefault="006A78F9" w:rsidP="005B7C84">
            <w:pPr>
              <w:rPr>
                <w:rFonts w:cs="Arial"/>
              </w:rPr>
            </w:pPr>
          </w:p>
        </w:tc>
      </w:tr>
    </w:tbl>
    <w:p w14:paraId="79671ABC" w14:textId="77777777" w:rsidR="006A78F9" w:rsidRPr="007B1C44" w:rsidRDefault="006A78F9" w:rsidP="006A78F9">
      <w:pPr>
        <w:rPr>
          <w:rFonts w:cs="Arial"/>
          <w:sz w:val="21"/>
        </w:rPr>
      </w:pPr>
    </w:p>
    <w:p w14:paraId="0379A41F" w14:textId="77777777" w:rsidR="006A78F9" w:rsidRDefault="006A78F9" w:rsidP="006A78F9"/>
    <w:p w14:paraId="4BDF4A5A" w14:textId="77777777" w:rsidR="00D51638" w:rsidRDefault="00D51638"/>
    <w:sectPr w:rsidR="00D51638" w:rsidSect="00444D50">
      <w:pgSz w:w="12240" w:h="15840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F9"/>
    <w:rsid w:val="00093AA0"/>
    <w:rsid w:val="0022459D"/>
    <w:rsid w:val="002E4794"/>
    <w:rsid w:val="00373DA4"/>
    <w:rsid w:val="00445835"/>
    <w:rsid w:val="00475394"/>
    <w:rsid w:val="004B6AB4"/>
    <w:rsid w:val="00502972"/>
    <w:rsid w:val="005F285A"/>
    <w:rsid w:val="006210DD"/>
    <w:rsid w:val="006A78F9"/>
    <w:rsid w:val="0072136E"/>
    <w:rsid w:val="008A1167"/>
    <w:rsid w:val="008D4579"/>
    <w:rsid w:val="00A75568"/>
    <w:rsid w:val="00AD5A20"/>
    <w:rsid w:val="00AF2099"/>
    <w:rsid w:val="00B00ED1"/>
    <w:rsid w:val="00B560E0"/>
    <w:rsid w:val="00B67D18"/>
    <w:rsid w:val="00B94826"/>
    <w:rsid w:val="00BB2345"/>
    <w:rsid w:val="00C9005A"/>
    <w:rsid w:val="00CC5AE3"/>
    <w:rsid w:val="00CF04B3"/>
    <w:rsid w:val="00D13B84"/>
    <w:rsid w:val="00D51638"/>
    <w:rsid w:val="00D82FF1"/>
    <w:rsid w:val="00F551BD"/>
    <w:rsid w:val="00F61B14"/>
    <w:rsid w:val="00F9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C621"/>
  <w15:docId w15:val="{885DE121-2836-8644-A91B-651A3F50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8F9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8F9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A78F9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6A78F9"/>
    <w:pPr>
      <w:numPr>
        <w:ilvl w:val="1"/>
      </w:numPr>
      <w:spacing w:before="120" w:after="120" w:line="240" w:lineRule="auto"/>
    </w:pPr>
    <w:rPr>
      <w:sz w:val="16"/>
    </w:rPr>
  </w:style>
  <w:style w:type="character" w:customStyle="1" w:styleId="SubttuloCar">
    <w:name w:val="Subtítulo Car"/>
    <w:basedOn w:val="Fuentedeprrafopredeter"/>
    <w:link w:val="Subttulo"/>
    <w:uiPriority w:val="11"/>
    <w:rsid w:val="006A78F9"/>
    <w:rPr>
      <w:rFonts w:eastAsiaTheme="minorEastAsia"/>
      <w:sz w:val="16"/>
      <w:szCs w:val="22"/>
      <w:lang w:eastAsia="zh-CN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13B8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948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48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4826"/>
    <w:rPr>
      <w:rFonts w:eastAsiaTheme="minorEastAsia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48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4826"/>
    <w:rPr>
      <w:rFonts w:eastAsiaTheme="minorEastAsia"/>
      <w:b/>
      <w:bCs/>
      <w:sz w:val="20"/>
      <w:szCs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826"/>
    <w:rPr>
      <w:rFonts w:ascii="Tahoma" w:eastAsiaTheme="minorEastAsia" w:hAnsi="Tahoma" w:cs="Tahoma"/>
      <w:sz w:val="16"/>
      <w:szCs w:val="16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F9273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93A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ireproject.com/wp-content/uploads/2022/04/uw-ses-sf6-sc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Gurmaan Gill</dc:creator>
  <cp:lastModifiedBy>Carlos Leonardo Cano Herrera</cp:lastModifiedBy>
  <cp:revision>3</cp:revision>
  <dcterms:created xsi:type="dcterms:W3CDTF">2024-08-20T22:40:00Z</dcterms:created>
  <dcterms:modified xsi:type="dcterms:W3CDTF">2024-08-26T21:44:00Z</dcterms:modified>
</cp:coreProperties>
</file>