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BF0E9" w14:textId="77777777" w:rsidR="008974A0" w:rsidRPr="00341BDA" w:rsidRDefault="008974A0"/>
    <w:tbl>
      <w:tblPr>
        <w:tblStyle w:val="Tablaconcuadrcula"/>
        <w:tblW w:w="10745" w:type="dxa"/>
        <w:tblInd w:w="1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70"/>
        <w:gridCol w:w="3518"/>
        <w:gridCol w:w="3657"/>
      </w:tblGrid>
      <w:tr w:rsidR="00941054" w:rsidRPr="007B1C44" w14:paraId="43DBE244" w14:textId="77777777" w:rsidTr="00341BDA">
        <w:trPr>
          <w:trHeight w:val="531"/>
        </w:trPr>
        <w:tc>
          <w:tcPr>
            <w:tcW w:w="10745" w:type="dxa"/>
            <w:gridSpan w:val="3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73462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9A6ECEB" w14:textId="1B6ABBCC" w:rsidR="001A0512" w:rsidRPr="005F27D6" w:rsidRDefault="00186BAA" w:rsidP="00341BDA">
            <w:pPr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186BAA">
              <w:rPr>
                <w:rFonts w:cs="Arial"/>
                <w:color w:val="FFFFFF" w:themeColor="background1"/>
                <w:sz w:val="28"/>
                <w:szCs w:val="28"/>
                <w:lang w:val="fr-CA"/>
              </w:rPr>
              <w:t>Sense</w:t>
            </w:r>
            <w:proofErr w:type="spellEnd"/>
            <w:r w:rsidRPr="00186BAA">
              <w:rPr>
                <w:rFonts w:cs="Arial"/>
                <w:color w:val="FFFFFF" w:themeColor="background1"/>
                <w:sz w:val="28"/>
                <w:szCs w:val="28"/>
                <w:lang w:val="fr-CA"/>
              </w:rPr>
              <w:t xml:space="preserve"> of </w:t>
            </w:r>
            <w:proofErr w:type="spellStart"/>
            <w:r w:rsidRPr="00186BAA">
              <w:rPr>
                <w:rFonts w:cs="Arial"/>
                <w:color w:val="FFFFFF" w:themeColor="background1"/>
                <w:sz w:val="28"/>
                <w:szCs w:val="28"/>
                <w:lang w:val="fr-CA"/>
              </w:rPr>
              <w:t>Well-Being</w:t>
            </w:r>
            <w:proofErr w:type="spellEnd"/>
            <w:r w:rsidRPr="00186BAA">
              <w:rPr>
                <w:rFonts w:cs="Arial"/>
                <w:color w:val="FFFFFF" w:themeColor="background1"/>
                <w:sz w:val="28"/>
                <w:szCs w:val="28"/>
                <w:lang w:val="fr-CA"/>
              </w:rPr>
              <w:t xml:space="preserve"> Inventory (SWBI)</w:t>
            </w:r>
          </w:p>
        </w:tc>
      </w:tr>
      <w:tr w:rsidR="00941054" w:rsidRPr="007B1C44" w14:paraId="187DC58D" w14:textId="77777777" w:rsidTr="00341BDA">
        <w:trPr>
          <w:trHeight w:val="416"/>
        </w:trPr>
        <w:tc>
          <w:tcPr>
            <w:tcW w:w="10745" w:type="dxa"/>
            <w:gridSpan w:val="3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5841DF2" w14:textId="77777777" w:rsidR="00B8074E" w:rsidRPr="00435799" w:rsidRDefault="000E1D3D" w:rsidP="00341BDA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Assessment </w:t>
            </w:r>
            <w:r w:rsidR="00B8074E" w:rsidRPr="00435799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Overview</w:t>
            </w:r>
          </w:p>
        </w:tc>
      </w:tr>
      <w:tr w:rsidR="00941054" w:rsidRPr="007B1C44" w14:paraId="4F0F516C" w14:textId="77777777" w:rsidTr="002A0AFB">
        <w:trPr>
          <w:trHeight w:val="1701"/>
        </w:trPr>
        <w:tc>
          <w:tcPr>
            <w:tcW w:w="3570" w:type="dxa"/>
            <w:tcBorders>
              <w:top w:val="single" w:sz="12" w:space="0" w:color="FFFFFF"/>
              <w:left w:val="nil"/>
              <w:bottom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C1076A2" w14:textId="77777777" w:rsidR="00A815D7" w:rsidRPr="002A0AFB" w:rsidRDefault="00A815D7" w:rsidP="008974A0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Assessment Area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A815D7" w:rsidRPr="007B1C44" w14:paraId="21DADDEC" w14:textId="77777777" w:rsidTr="006B7CD7">
              <w:trPr>
                <w:trHeight w:val="184"/>
              </w:trPr>
              <w:tc>
                <w:tcPr>
                  <w:tcW w:w="3243" w:type="dxa"/>
                  <w:shd w:val="clear" w:color="auto" w:fill="FFFFFF" w:themeFill="background1"/>
                </w:tcPr>
                <w:p w14:paraId="2C7F18DA" w14:textId="7667B792" w:rsidR="007E7FD8" w:rsidRDefault="005F27D6" w:rsidP="000A3034">
                  <w:pPr>
                    <w:rPr>
                      <w:b/>
                      <w:lang w:val="en-US"/>
                    </w:rPr>
                  </w:pPr>
                  <w:r w:rsidRPr="007E7FD8">
                    <w:rPr>
                      <w:b/>
                      <w:lang w:val="en-US"/>
                    </w:rPr>
                    <w:t>ICF Domain:</w:t>
                  </w:r>
                </w:p>
                <w:p w14:paraId="54FDA609" w14:textId="0F172635" w:rsidR="00341BDA" w:rsidRDefault="003D76D3" w:rsidP="00F11E0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Activity and Participation</w:t>
                  </w:r>
                </w:p>
                <w:p w14:paraId="5CE06C5F" w14:textId="77777777" w:rsidR="00BB0D20" w:rsidRPr="00BB0D20" w:rsidRDefault="00BB0D20" w:rsidP="00F11E09">
                  <w:pPr>
                    <w:rPr>
                      <w:b/>
                      <w:lang w:val="en-US"/>
                    </w:rPr>
                  </w:pPr>
                  <w:r w:rsidRPr="00BB0D20">
                    <w:rPr>
                      <w:b/>
                      <w:lang w:val="en-US"/>
                    </w:rPr>
                    <w:t>Subscales:</w:t>
                  </w:r>
                </w:p>
                <w:p w14:paraId="438008B5" w14:textId="51CB985C" w:rsidR="00BB0D20" w:rsidRPr="00186BAA" w:rsidRDefault="003D76D3" w:rsidP="00BB0D2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Major life areas</w:t>
                  </w:r>
                </w:p>
              </w:tc>
            </w:tr>
          </w:tbl>
          <w:p w14:paraId="64807C3A" w14:textId="77777777" w:rsidR="00A815D7" w:rsidRPr="007B1C44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single" w:sz="12" w:space="0" w:color="FFFFFF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302AA094" w14:textId="77777777" w:rsidR="00A815D7" w:rsidRPr="002A0AFB" w:rsidRDefault="00A815D7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>Summary</w:t>
            </w:r>
          </w:p>
          <w:tbl>
            <w:tblPr>
              <w:tblStyle w:val="Tablaconcuadrcula"/>
              <w:tblW w:w="6737" w:type="dxa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37"/>
            </w:tblGrid>
            <w:tr w:rsidR="00A815D7" w:rsidRPr="007B1C44" w14:paraId="0467A076" w14:textId="77777777" w:rsidTr="00341BDA">
              <w:trPr>
                <w:trHeight w:val="1777"/>
              </w:trPr>
              <w:tc>
                <w:tcPr>
                  <w:tcW w:w="6737" w:type="dxa"/>
                  <w:shd w:val="clear" w:color="auto" w:fill="FFFFFF" w:themeFill="background1"/>
                </w:tcPr>
                <w:p w14:paraId="778CB91A" w14:textId="77777777" w:rsidR="009A3470" w:rsidRDefault="00186BAA" w:rsidP="00BB0D20">
                  <w:pPr>
                    <w:rPr>
                      <w:lang w:val="en-US"/>
                    </w:rPr>
                  </w:pPr>
                  <w:r w:rsidRPr="00186BAA">
                    <w:rPr>
                      <w:lang w:val="en-US"/>
                    </w:rPr>
                    <w:t xml:space="preserve">The Sense of Well-Being Inventory (SWBI) was originally developed to assess quality of life for vocational rehabilitation clients. </w:t>
                  </w:r>
                </w:p>
                <w:p w14:paraId="392E5CF0" w14:textId="77777777" w:rsidR="009A3470" w:rsidRDefault="009A3470" w:rsidP="00BB0D20">
                  <w:pPr>
                    <w:rPr>
                      <w:lang w:val="en-US"/>
                    </w:rPr>
                  </w:pPr>
                </w:p>
                <w:p w14:paraId="4F016AB6" w14:textId="6CA60C2F" w:rsidR="00435799" w:rsidRPr="002A0AFB" w:rsidRDefault="00186BAA" w:rsidP="00BB0D20">
                  <w:pPr>
                    <w:rPr>
                      <w:lang w:val="en-US"/>
                    </w:rPr>
                  </w:pPr>
                  <w:r w:rsidRPr="00186BAA">
                    <w:rPr>
                      <w:lang w:val="en-US"/>
                    </w:rPr>
                    <w:t>It was later validated and refined by Chapin et al. 2004 in a population with SCI, and again by Catalano et al. 2010. The latest version ha</w:t>
                  </w:r>
                  <w:r w:rsidR="00BB0D20">
                    <w:rPr>
                      <w:lang w:val="en-US"/>
                    </w:rPr>
                    <w:t>s 20 items and four subscales</w:t>
                  </w:r>
                  <w:r w:rsidRPr="00186BAA">
                    <w:rPr>
                      <w:lang w:val="en-US"/>
                    </w:rPr>
                    <w:t>.</w:t>
                  </w:r>
                  <w:r w:rsidR="00BB0D20">
                    <w:rPr>
                      <w:lang w:val="en-US"/>
                    </w:rPr>
                    <w:t xml:space="preserve"> Older versions contain 36 or 26 items, with an additional subscale regarding medical care.</w:t>
                  </w:r>
                </w:p>
              </w:tc>
            </w:tr>
          </w:tbl>
          <w:p w14:paraId="16838844" w14:textId="77777777" w:rsidR="00A815D7" w:rsidRPr="007B1C44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7B1C44" w14:paraId="35C9638D" w14:textId="77777777" w:rsidTr="00341BDA">
        <w:trPr>
          <w:trHeight w:val="1927"/>
        </w:trPr>
        <w:tc>
          <w:tcPr>
            <w:tcW w:w="3570" w:type="dxa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9B38955" w14:textId="3E3C6FB7" w:rsidR="002A51FF" w:rsidRPr="002A0AFB" w:rsidRDefault="00435799" w:rsidP="0067025E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You Will Need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2A51FF" w:rsidRPr="007B1C44" w14:paraId="2DC596B2" w14:textId="77777777" w:rsidTr="006B7CD7">
              <w:trPr>
                <w:trHeight w:val="1570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F557AB7" w14:textId="77777777" w:rsidR="00C921C1" w:rsidRDefault="005F27D6" w:rsidP="005F27D6">
                  <w:pPr>
                    <w:rPr>
                      <w:rFonts w:cs="Arial"/>
                      <w:b/>
                    </w:rPr>
                  </w:pPr>
                  <w:r w:rsidRPr="002A0AFB">
                    <w:rPr>
                      <w:rFonts w:cs="Arial"/>
                      <w:b/>
                    </w:rPr>
                    <w:t xml:space="preserve">Length: </w:t>
                  </w:r>
                </w:p>
                <w:p w14:paraId="64E592C6" w14:textId="124DFD5D" w:rsidR="002A51FF" w:rsidRDefault="00BB0D20" w:rsidP="005F27D6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15</w:t>
                  </w:r>
                  <w:r w:rsidR="00F11E09">
                    <w:rPr>
                      <w:rFonts w:cs="Arial"/>
                    </w:rPr>
                    <w:t xml:space="preserve"> minutes, </w:t>
                  </w:r>
                  <w:r w:rsidR="0097221B">
                    <w:rPr>
                      <w:rFonts w:cs="Arial"/>
                    </w:rPr>
                    <w:t>20</w:t>
                  </w:r>
                  <w:r w:rsidR="00F11E09">
                    <w:rPr>
                      <w:rFonts w:cs="Arial"/>
                    </w:rPr>
                    <w:t xml:space="preserve"> items</w:t>
                  </w:r>
                </w:p>
                <w:p w14:paraId="40FE588A" w14:textId="77777777" w:rsidR="00544920" w:rsidRDefault="00544920" w:rsidP="005F27D6">
                  <w:pPr>
                    <w:rPr>
                      <w:rFonts w:cs="Arial"/>
                    </w:rPr>
                  </w:pPr>
                  <w:r w:rsidRPr="00544920">
                    <w:rPr>
                      <w:rFonts w:cs="Arial"/>
                      <w:b/>
                    </w:rPr>
                    <w:t>Scoring</w:t>
                  </w:r>
                  <w:r>
                    <w:rPr>
                      <w:rFonts w:cs="Arial"/>
                      <w:b/>
                    </w:rPr>
                    <w:t>:</w:t>
                  </w:r>
                </w:p>
                <w:p w14:paraId="17A84757" w14:textId="13122DC1" w:rsidR="00544920" w:rsidRPr="00544920" w:rsidRDefault="00BB0D20" w:rsidP="005F27D6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Items rated 1-4. Overall score is the mean of all item scores.</w:t>
                  </w:r>
                </w:p>
              </w:tc>
            </w:tr>
          </w:tbl>
          <w:p w14:paraId="1032E616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  <w:tc>
          <w:tcPr>
            <w:tcW w:w="7175" w:type="dxa"/>
            <w:gridSpan w:val="2"/>
            <w:vMerge/>
            <w:tcBorders>
              <w:top w:val="nil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0BB18F0C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</w:tr>
      <w:tr w:rsidR="00941054" w:rsidRPr="007B1C44" w14:paraId="1069995C" w14:textId="77777777" w:rsidTr="002A0AFB">
        <w:trPr>
          <w:trHeight w:val="1985"/>
        </w:trPr>
        <w:tc>
          <w:tcPr>
            <w:tcW w:w="3570" w:type="dxa"/>
            <w:vMerge/>
            <w:tcBorders>
              <w:left w:val="nil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4938A23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B271C35" w14:textId="77777777" w:rsidR="002A51FF" w:rsidRPr="002A0AFB" w:rsidRDefault="002A51FF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 xml:space="preserve">Availability 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26"/>
            </w:tblGrid>
            <w:tr w:rsidR="002A51FF" w:rsidRPr="007B1C44" w14:paraId="26FF6E41" w14:textId="77777777" w:rsidTr="00941054">
              <w:trPr>
                <w:trHeight w:val="460"/>
              </w:trPr>
              <w:tc>
                <w:tcPr>
                  <w:tcW w:w="6726" w:type="dxa"/>
                  <w:shd w:val="clear" w:color="auto" w:fill="FFFFFF" w:themeFill="background1"/>
                </w:tcPr>
                <w:p w14:paraId="2F71BC9C" w14:textId="0622AE09" w:rsidR="009A3470" w:rsidRDefault="00520EB0" w:rsidP="009A3470">
                  <w:pPr>
                    <w:spacing w:after="40"/>
                  </w:pPr>
                  <w:r w:rsidRPr="00520EB0">
                    <w:rPr>
                      <w:b/>
                      <w:bCs/>
                    </w:rPr>
                    <w:t>Worksheet:</w:t>
                  </w:r>
                  <w:r>
                    <w:t xml:space="preserve"> </w:t>
                  </w:r>
                  <w:r w:rsidR="009A3470">
                    <w:t xml:space="preserve">Can be found in </w:t>
                  </w:r>
                  <w:r>
                    <w:t xml:space="preserve">the </w:t>
                  </w:r>
                  <w:r w:rsidR="00B3410A">
                    <w:t xml:space="preserve">following </w:t>
                  </w:r>
                  <w:hyperlink r:id="rId5" w:history="1">
                    <w:r w:rsidR="00B3410A" w:rsidRPr="00B3410A">
                      <w:rPr>
                        <w:rStyle w:val="Hipervnculo"/>
                      </w:rPr>
                      <w:t>article</w:t>
                    </w:r>
                  </w:hyperlink>
                  <w:r w:rsidR="00B3410A">
                    <w:t>.</w:t>
                  </w:r>
                  <w:r>
                    <w:t xml:space="preserve"> </w:t>
                  </w:r>
                </w:p>
                <w:p w14:paraId="4F9A33D4" w14:textId="77777777" w:rsidR="009A3470" w:rsidRDefault="009A3470" w:rsidP="009A3470">
                  <w:pPr>
                    <w:spacing w:after="40"/>
                  </w:pPr>
                </w:p>
                <w:p w14:paraId="4E68D6A6" w14:textId="395D6937" w:rsidR="002A0AFB" w:rsidRPr="002A0AFB" w:rsidRDefault="00F11E09" w:rsidP="009A3470">
                  <w:pPr>
                    <w:spacing w:after="40"/>
                  </w:pPr>
                  <w:r w:rsidRPr="00F11E09">
                    <w:rPr>
                      <w:b/>
                    </w:rPr>
                    <w:t>Languages:</w:t>
                  </w:r>
                  <w:r>
                    <w:t xml:space="preserve"> </w:t>
                  </w:r>
                  <w:r w:rsidR="008776C0">
                    <w:t>English</w:t>
                  </w:r>
                </w:p>
              </w:tc>
            </w:tr>
          </w:tbl>
          <w:p w14:paraId="30358630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7B1C44" w14:paraId="67C0C7A2" w14:textId="77777777" w:rsidTr="00B82F5B">
        <w:trPr>
          <w:trHeight w:val="472"/>
        </w:trPr>
        <w:tc>
          <w:tcPr>
            <w:tcW w:w="1074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8" w:space="0" w:color="FFFFFF" w:themeColor="background1"/>
              <w:right w:val="nil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1AD13A93" w14:textId="77777777" w:rsidR="000E1D3D" w:rsidRPr="007B1C44" w:rsidRDefault="000E1D3D" w:rsidP="00341BDA">
            <w:pPr>
              <w:rPr>
                <w:rFonts w:cs="Arial"/>
                <w:b/>
                <w:szCs w:val="24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>Assessment Interpretability</w:t>
            </w:r>
          </w:p>
        </w:tc>
      </w:tr>
      <w:tr w:rsidR="00941054" w:rsidRPr="007B1C44" w14:paraId="35539EBF" w14:textId="77777777" w:rsidTr="00435799">
        <w:trPr>
          <w:trHeight w:val="4876"/>
        </w:trPr>
        <w:tc>
          <w:tcPr>
            <w:tcW w:w="3570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142" w:type="dxa"/>
              <w:left w:w="142" w:type="dxa"/>
              <w:bottom w:w="85" w:type="dxa"/>
              <w:right w:w="142" w:type="dxa"/>
            </w:tcMar>
          </w:tcPr>
          <w:p w14:paraId="0817E2FD" w14:textId="635D571A" w:rsidR="00341BDA" w:rsidRPr="002A0AFB" w:rsidRDefault="000E1D3D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>Minimal Clinically Important Difference</w:t>
            </w:r>
          </w:p>
          <w:tbl>
            <w:tblPr>
              <w:tblStyle w:val="Tablaconcuadrcula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B8074E" w:rsidRPr="007B1C44" w14:paraId="7F9615CC" w14:textId="77777777" w:rsidTr="00A663F5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D159230" w14:textId="6D2878B5" w:rsidR="00341BDA" w:rsidRPr="002A0AFB" w:rsidRDefault="002A0AFB" w:rsidP="00A663F5">
                  <w:pPr>
                    <w:rPr>
                      <w:shd w:val="clear" w:color="auto" w:fill="FFFFFF"/>
                      <w:vertAlign w:val="subscript"/>
                    </w:rPr>
                  </w:pPr>
                  <w:r w:rsidRPr="002A0AFB">
                    <w:rPr>
                      <w:shd w:val="clear" w:color="auto" w:fill="FFFFFF"/>
                    </w:rPr>
                    <w:t>Not established in SCI</w:t>
                  </w:r>
                </w:p>
              </w:tc>
            </w:tr>
          </w:tbl>
          <w:p w14:paraId="3BCF358F" w14:textId="77777777" w:rsidR="004E4343" w:rsidRPr="007B1C44" w:rsidRDefault="004E4343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518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74691EF" w14:textId="389618AA" w:rsidR="000E1D3D" w:rsidRPr="002A0AFB" w:rsidRDefault="00C65F06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>Statistical Error</w:t>
            </w:r>
          </w:p>
          <w:p w14:paraId="29B2A0D6" w14:textId="77777777" w:rsidR="00341BDA" w:rsidRPr="00381D82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aconcuadrcula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17"/>
            </w:tblGrid>
            <w:tr w:rsidR="000E1D3D" w:rsidRPr="007B1C44" w14:paraId="3D778C23" w14:textId="77777777" w:rsidTr="00A663F5">
              <w:trPr>
                <w:trHeight w:val="1134"/>
              </w:trPr>
              <w:tc>
                <w:tcPr>
                  <w:tcW w:w="3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right w:w="142" w:type="dxa"/>
                  </w:tcMar>
                </w:tcPr>
                <w:p w14:paraId="09592F48" w14:textId="0254887B" w:rsidR="00341BDA" w:rsidRPr="00F11E09" w:rsidRDefault="0097221B" w:rsidP="0043468D">
                  <w:r w:rsidRPr="002A0AFB">
                    <w:rPr>
                      <w:shd w:val="clear" w:color="auto" w:fill="FFFFFF"/>
                    </w:rPr>
                    <w:t>Not established in SCI</w:t>
                  </w:r>
                </w:p>
              </w:tc>
            </w:tr>
          </w:tbl>
          <w:p w14:paraId="2E47F049" w14:textId="77777777" w:rsidR="00341BDA" w:rsidRPr="007B1C44" w:rsidRDefault="00341BDA" w:rsidP="00341BDA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657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A6442C5" w14:textId="713CF8B6" w:rsidR="00341BDA" w:rsidRPr="002A0AFB" w:rsidRDefault="00E0510D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 xml:space="preserve">Typical </w:t>
            </w:r>
            <w:r w:rsidR="000E1D3D" w:rsidRPr="002A0AFB">
              <w:rPr>
                <w:rFonts w:cs="Arial"/>
                <w:color w:val="FFFFFF" w:themeColor="background1"/>
                <w:sz w:val="26"/>
                <w:szCs w:val="26"/>
              </w:rPr>
              <w:t>Values</w:t>
            </w:r>
          </w:p>
          <w:p w14:paraId="44D0F879" w14:textId="77777777" w:rsidR="00341BDA" w:rsidRPr="00381D82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aconcuadrcula"/>
              <w:tblW w:w="3243" w:type="dxa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0E1D3D" w:rsidRPr="007B1C44" w14:paraId="71B016D0" w14:textId="77777777" w:rsidTr="00A663F5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0BB99D5" w14:textId="4737CD6B" w:rsidR="00C921C1" w:rsidRPr="00C921C1" w:rsidRDefault="00C921C1" w:rsidP="00C921C1">
                  <w:pPr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</w:pPr>
                  <w:r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  <w:t>M</w:t>
                  </w:r>
                  <w:r w:rsidRPr="00C921C1"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  <w:t xml:space="preserve">ean (SD) </w:t>
                  </w:r>
                  <w:r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  <w:t>S</w:t>
                  </w:r>
                  <w:r w:rsidRPr="00C921C1"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  <w:t>cores:</w:t>
                  </w:r>
                </w:p>
                <w:p w14:paraId="50DFF895" w14:textId="77777777" w:rsidR="0043468D" w:rsidRPr="0043468D" w:rsidRDefault="0043468D" w:rsidP="0043468D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43468D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Psychological Well-Being = 2.75 (0.61)</w:t>
                  </w:r>
                </w:p>
                <w:p w14:paraId="3B503C27" w14:textId="77777777" w:rsidR="0043468D" w:rsidRPr="0043468D" w:rsidRDefault="0043468D" w:rsidP="0043468D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43468D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Financial Well-Being = 2.93 (0.70)</w:t>
                  </w:r>
                </w:p>
                <w:p w14:paraId="10207DB6" w14:textId="77777777" w:rsidR="0043468D" w:rsidRPr="0043468D" w:rsidRDefault="0043468D" w:rsidP="0043468D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43468D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Family and Social Well-Being = 3.22 (0.60)</w:t>
                  </w:r>
                </w:p>
                <w:p w14:paraId="498364EA" w14:textId="77777777" w:rsidR="0043468D" w:rsidRPr="0043468D" w:rsidRDefault="0043468D" w:rsidP="0043468D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43468D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Physical Well-Being = 2.82 (0.63)</w:t>
                  </w:r>
                </w:p>
                <w:p w14:paraId="3D5A5E01" w14:textId="02AD8639" w:rsidR="00341BDA" w:rsidRPr="00F11E09" w:rsidRDefault="0043468D" w:rsidP="0043468D">
                  <w:pPr>
                    <w:pStyle w:val="Subttulo"/>
                  </w:pPr>
                  <w: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(</w:t>
                  </w:r>
                  <w:r w:rsidR="00BB0D20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 xml:space="preserve">SWBI 20-item version; </w:t>
                  </w:r>
                  <w: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Catalano et al. 2010; n=413</w:t>
                  </w:r>
                  <w:r w:rsidR="009A3470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;</w:t>
                  </w:r>
                  <w:r w:rsidRPr="0043468D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 xml:space="preserve"> 293 male</w:t>
                  </w:r>
                  <w:r w:rsidR="009A3470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s</w:t>
                  </w:r>
                  <w: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; paraplegia; mean (SD) time since SCI</w:t>
                  </w:r>
                  <w:r w:rsidR="009A3470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:</w:t>
                  </w:r>
                  <w: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 xml:space="preserve"> 29.30(14.45) months</w:t>
                  </w:r>
                  <w:r w:rsidRPr="0043468D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)</w:t>
                  </w:r>
                </w:p>
              </w:tc>
            </w:tr>
          </w:tbl>
          <w:p w14:paraId="0B6824AC" w14:textId="77777777" w:rsidR="004E4343" w:rsidRPr="007B1C44" w:rsidRDefault="004E4343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</w:tbl>
    <w:p w14:paraId="27DD558F" w14:textId="77777777" w:rsidR="006015FA" w:rsidRDefault="006015FA">
      <w:pPr>
        <w:rPr>
          <w:rFonts w:cs="Arial"/>
          <w:sz w:val="21"/>
        </w:rPr>
      </w:pPr>
      <w:r>
        <w:rPr>
          <w:rFonts w:cs="Arial"/>
          <w:sz w:val="21"/>
        </w:rPr>
        <w:br w:type="page"/>
      </w:r>
    </w:p>
    <w:p w14:paraId="620B4B95" w14:textId="77777777" w:rsidR="00B82F5B" w:rsidRDefault="00B82F5B" w:rsidP="00C3763F">
      <w:pPr>
        <w:rPr>
          <w:rFonts w:cs="Arial"/>
        </w:rPr>
      </w:pPr>
    </w:p>
    <w:tbl>
      <w:tblPr>
        <w:tblStyle w:val="Tablaconcuadrcula"/>
        <w:tblW w:w="10745" w:type="dxa"/>
        <w:tblInd w:w="1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81"/>
        <w:gridCol w:w="1806"/>
        <w:gridCol w:w="1776"/>
        <w:gridCol w:w="3582"/>
      </w:tblGrid>
      <w:tr w:rsidR="006015FA" w:rsidRPr="007B1C44" w14:paraId="11245697" w14:textId="77777777" w:rsidTr="00ED0A92">
        <w:trPr>
          <w:trHeight w:val="640"/>
        </w:trPr>
        <w:tc>
          <w:tcPr>
            <w:tcW w:w="10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02019100" w14:textId="77777777" w:rsidR="006015FA" w:rsidRPr="002A0AFB" w:rsidRDefault="006015FA" w:rsidP="00A64F1F">
            <w:pPr>
              <w:rPr>
                <w:rFonts w:cs="Arial"/>
                <w:b/>
                <w:color w:val="FFFFFF" w:themeColor="background1"/>
                <w:sz w:val="28"/>
                <w:szCs w:val="24"/>
              </w:rPr>
            </w:pPr>
            <w:r w:rsidRPr="002A0AFB">
              <w:rPr>
                <w:rFonts w:cs="Arial"/>
                <w:b/>
                <w:color w:val="FFFFFF" w:themeColor="background1"/>
                <w:sz w:val="28"/>
                <w:szCs w:val="28"/>
              </w:rPr>
              <w:t>Measurement Properties</w:t>
            </w:r>
          </w:p>
        </w:tc>
      </w:tr>
      <w:tr w:rsidR="00B82F5B" w:rsidRPr="007B1C44" w14:paraId="06B9EECE" w14:textId="77777777" w:rsidTr="00ED0A92">
        <w:trPr>
          <w:trHeight w:val="7028"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3A1A8B11" w14:textId="6E34259C" w:rsidR="006015FA" w:rsidRPr="002A0AFB" w:rsidRDefault="00435799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Validity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 </w:t>
            </w:r>
            <w:r w:rsidR="001B46C2" w:rsidRPr="009A3470">
              <w:rPr>
                <w:rFonts w:cs="Arial"/>
                <w:b/>
                <w:color w:val="FF9300"/>
                <w:sz w:val="26"/>
                <w:szCs w:val="26"/>
                <w:shd w:val="clear" w:color="auto" w:fill="FFFFFF"/>
              </w:rPr>
              <w:t>Moderate</w:t>
            </w:r>
            <w:r w:rsidR="001B46C2" w:rsidRPr="008609E7">
              <w:rPr>
                <w:rFonts w:cs="Arial"/>
                <w:b/>
                <w:color w:val="00B050"/>
                <w:sz w:val="26"/>
                <w:szCs w:val="26"/>
                <w:shd w:val="clear" w:color="auto" w:fill="FFFFFF"/>
              </w:rPr>
              <w:t xml:space="preserve"> 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to </w:t>
            </w:r>
            <w:r w:rsidR="00201CFB" w:rsidRPr="00544920">
              <w:rPr>
                <w:rFonts w:cs="Arial"/>
                <w:b/>
                <w:color w:val="00B050"/>
                <w:sz w:val="26"/>
                <w:szCs w:val="26"/>
              </w:rPr>
              <w:t>High</w:t>
            </w:r>
          </w:p>
          <w:tbl>
            <w:tblPr>
              <w:tblStyle w:val="Tablaconcuadrcula"/>
              <w:tblW w:w="5111" w:type="dxa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111"/>
            </w:tblGrid>
            <w:tr w:rsidR="006015FA" w:rsidRPr="002A0AFB" w14:paraId="25E0A61F" w14:textId="77777777" w:rsidTr="00B82F5B">
              <w:trPr>
                <w:trHeight w:val="4634"/>
              </w:trPr>
              <w:tc>
                <w:tcPr>
                  <w:tcW w:w="5111" w:type="dxa"/>
                  <w:shd w:val="clear" w:color="auto" w:fill="FFFFFF" w:themeFill="background1"/>
                  <w:tcMar>
                    <w:top w:w="113" w:type="dxa"/>
                    <w:bottom w:w="57" w:type="dxa"/>
                  </w:tcMar>
                </w:tcPr>
                <w:p w14:paraId="6B2CDC67" w14:textId="6D13C125" w:rsidR="0097221B" w:rsidRPr="009A3470" w:rsidRDefault="0097221B" w:rsidP="009A3470">
                  <w:pPr>
                    <w:spacing w:before="120" w:after="120"/>
                    <w:rPr>
                      <w:b/>
                      <w:iCs/>
                    </w:rPr>
                  </w:pPr>
                  <w:r w:rsidRPr="009A3470">
                    <w:rPr>
                      <w:rFonts w:cs="Arial"/>
                      <w:b/>
                      <w:iCs/>
                      <w:color w:val="FF9300"/>
                      <w:shd w:val="clear" w:color="auto" w:fill="FFFFFF"/>
                    </w:rPr>
                    <w:t>Moderate</w:t>
                  </w:r>
                  <w:r w:rsidRPr="009A3470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 xml:space="preserve"> </w:t>
                  </w:r>
                  <w:r w:rsidRPr="009A3470">
                    <w:rPr>
                      <w:b/>
                      <w:iCs/>
                    </w:rPr>
                    <w:t xml:space="preserve">to </w:t>
                  </w:r>
                  <w:r w:rsidRPr="009A3470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>High</w:t>
                  </w:r>
                  <w:r w:rsidRPr="009A3470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9A3470">
                    <w:rPr>
                      <w:b/>
                      <w:iCs/>
                    </w:rPr>
                    <w:t>correlation with subscales of the World Health Organization Quality of Life-Brief Version (WHOQOL-BREF):</w:t>
                  </w:r>
                </w:p>
                <w:p w14:paraId="33104BA9" w14:textId="4014D1A9" w:rsidR="0097221B" w:rsidRPr="009A3470" w:rsidRDefault="00E91AD0" w:rsidP="009A3470">
                  <w:pPr>
                    <w:spacing w:before="120" w:after="120"/>
                    <w:rPr>
                      <w:iCs/>
                    </w:rPr>
                  </w:pPr>
                  <w:r w:rsidRPr="009A3470">
                    <w:rPr>
                      <w:iCs/>
                    </w:rPr>
                    <w:t>r</w:t>
                  </w:r>
                  <w:r w:rsidR="0097221B" w:rsidRPr="009A3470">
                    <w:rPr>
                      <w:iCs/>
                    </w:rPr>
                    <w:t xml:space="preserve"> = 0.45-0.75</w:t>
                  </w:r>
                </w:p>
                <w:p w14:paraId="13B18352" w14:textId="23D53A38" w:rsidR="0097221B" w:rsidRPr="009A3470" w:rsidRDefault="0043468D" w:rsidP="009A3470">
                  <w:pPr>
                    <w:pStyle w:val="Subttulo"/>
                    <w:rPr>
                      <w:iCs/>
                    </w:rPr>
                  </w:pPr>
                  <w:r w:rsidRPr="009A3470">
                    <w:rPr>
                      <w:iCs/>
                    </w:rPr>
                    <w:t>(</w:t>
                  </w:r>
                  <w:r w:rsidR="00BB0D20" w:rsidRPr="009A3470">
                    <w:rPr>
                      <w:rFonts w:cs="Arial"/>
                      <w:iCs/>
                      <w:color w:val="000000"/>
                      <w:shd w:val="clear" w:color="auto" w:fill="FFFFFF"/>
                      <w:lang w:val="en-US"/>
                    </w:rPr>
                    <w:t xml:space="preserve">SWBI 26-item version; </w:t>
                  </w:r>
                  <w:r w:rsidRPr="009A3470">
                    <w:rPr>
                      <w:iCs/>
                    </w:rPr>
                    <w:t>Chapin et al. 2004; n=132</w:t>
                  </w:r>
                  <w:r w:rsidR="009A3470" w:rsidRPr="009A3470">
                    <w:rPr>
                      <w:iCs/>
                    </w:rPr>
                    <w:t>;</w:t>
                  </w:r>
                  <w:r w:rsidR="0097221B" w:rsidRPr="009A3470">
                    <w:rPr>
                      <w:iCs/>
                    </w:rPr>
                    <w:t xml:space="preserve"> 101 males</w:t>
                  </w:r>
                  <w:r w:rsidR="001B46C2" w:rsidRPr="009A3470">
                    <w:rPr>
                      <w:iCs/>
                    </w:rPr>
                    <w:t>; paraplegia; mean (SD) time since SCI = 15.21(11.63) months</w:t>
                  </w:r>
                  <w:r w:rsidR="0097221B" w:rsidRPr="009A3470">
                    <w:rPr>
                      <w:iCs/>
                    </w:rPr>
                    <w:t>)</w:t>
                  </w:r>
                </w:p>
                <w:p w14:paraId="22D9FD31" w14:textId="77777777" w:rsidR="0097221B" w:rsidRPr="009A3470" w:rsidRDefault="0097221B" w:rsidP="009A3470">
                  <w:pPr>
                    <w:spacing w:before="120" w:after="120"/>
                    <w:rPr>
                      <w:iCs/>
                    </w:rPr>
                  </w:pPr>
                </w:p>
                <w:p w14:paraId="1C078EDF" w14:textId="6B1ECCB4" w:rsidR="0097221B" w:rsidRPr="009A3470" w:rsidRDefault="0097221B" w:rsidP="009A3470">
                  <w:pPr>
                    <w:spacing w:before="120" w:after="120"/>
                    <w:rPr>
                      <w:b/>
                      <w:iCs/>
                    </w:rPr>
                  </w:pPr>
                  <w:r w:rsidRPr="009A3470">
                    <w:rPr>
                      <w:rFonts w:cs="Arial"/>
                      <w:b/>
                      <w:iCs/>
                      <w:color w:val="FF9300"/>
                      <w:shd w:val="clear" w:color="auto" w:fill="FFFFFF"/>
                    </w:rPr>
                    <w:t>Moderate</w:t>
                  </w:r>
                  <w:r w:rsidRPr="009A3470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 xml:space="preserve"> </w:t>
                  </w:r>
                  <w:r w:rsidRPr="009A3470">
                    <w:rPr>
                      <w:b/>
                      <w:iCs/>
                    </w:rPr>
                    <w:t xml:space="preserve">to </w:t>
                  </w:r>
                  <w:r w:rsidRPr="009A3470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>High</w:t>
                  </w:r>
                  <w:r w:rsidRPr="009A3470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9A3470">
                    <w:rPr>
                      <w:b/>
                      <w:iCs/>
                    </w:rPr>
                    <w:t>correlation with Rosenberg Self-Esteem Scale (RSES):</w:t>
                  </w:r>
                </w:p>
                <w:p w14:paraId="5F2C6223" w14:textId="3E86D5A5" w:rsidR="0097221B" w:rsidRPr="009A3470" w:rsidRDefault="00E91AD0" w:rsidP="009A3470">
                  <w:pPr>
                    <w:spacing w:before="120" w:after="120"/>
                    <w:rPr>
                      <w:iCs/>
                    </w:rPr>
                  </w:pPr>
                  <w:r w:rsidRPr="009A3470">
                    <w:rPr>
                      <w:iCs/>
                    </w:rPr>
                    <w:t>r</w:t>
                  </w:r>
                  <w:r w:rsidR="0097221B" w:rsidRPr="009A3470">
                    <w:rPr>
                      <w:iCs/>
                    </w:rPr>
                    <w:t xml:space="preserve"> = 0.42-0.76</w:t>
                  </w:r>
                </w:p>
                <w:p w14:paraId="1FD30FB4" w14:textId="77777777" w:rsidR="0097221B" w:rsidRPr="009A3470" w:rsidRDefault="0097221B" w:rsidP="009A3470">
                  <w:pPr>
                    <w:spacing w:before="120" w:after="120"/>
                    <w:rPr>
                      <w:iCs/>
                    </w:rPr>
                  </w:pPr>
                </w:p>
                <w:p w14:paraId="44BDB254" w14:textId="6FC8C3A9" w:rsidR="0097221B" w:rsidRPr="009A3470" w:rsidRDefault="0097221B" w:rsidP="009A3470">
                  <w:pPr>
                    <w:spacing w:before="120" w:after="120"/>
                    <w:rPr>
                      <w:b/>
                      <w:iCs/>
                    </w:rPr>
                  </w:pPr>
                  <w:r w:rsidRPr="009A3470">
                    <w:rPr>
                      <w:rFonts w:cs="Arial"/>
                      <w:b/>
                      <w:iCs/>
                      <w:color w:val="FF9300"/>
                      <w:shd w:val="clear" w:color="auto" w:fill="FFFFFF"/>
                    </w:rPr>
                    <w:t xml:space="preserve">Moderate </w:t>
                  </w:r>
                  <w:r w:rsidRPr="009A3470">
                    <w:rPr>
                      <w:b/>
                      <w:iCs/>
                    </w:rPr>
                    <w:t xml:space="preserve">to </w:t>
                  </w:r>
                  <w:r w:rsidRPr="009A3470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>High</w:t>
                  </w:r>
                  <w:r w:rsidRPr="009A3470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9A3470">
                    <w:rPr>
                      <w:b/>
                      <w:iCs/>
                    </w:rPr>
                    <w:t>correlation with Subjective Happiness Scale (SHS):</w:t>
                  </w:r>
                </w:p>
                <w:p w14:paraId="46BC5FAF" w14:textId="18517EE2" w:rsidR="0097221B" w:rsidRPr="009A3470" w:rsidRDefault="00E91AD0" w:rsidP="009A3470">
                  <w:pPr>
                    <w:spacing w:before="120" w:after="120"/>
                    <w:rPr>
                      <w:iCs/>
                    </w:rPr>
                  </w:pPr>
                  <w:r w:rsidRPr="009A3470">
                    <w:rPr>
                      <w:iCs/>
                    </w:rPr>
                    <w:t>r</w:t>
                  </w:r>
                  <w:r w:rsidR="0097221B" w:rsidRPr="009A3470">
                    <w:rPr>
                      <w:iCs/>
                    </w:rPr>
                    <w:t xml:space="preserve"> = 0.45-0.72 </w:t>
                  </w:r>
                </w:p>
                <w:p w14:paraId="7F0E2A21" w14:textId="77777777" w:rsidR="0097221B" w:rsidRPr="009A3470" w:rsidRDefault="0097221B" w:rsidP="009A3470">
                  <w:pPr>
                    <w:spacing w:before="120" w:after="120"/>
                    <w:rPr>
                      <w:iCs/>
                    </w:rPr>
                  </w:pPr>
                </w:p>
                <w:p w14:paraId="43AF8B53" w14:textId="77777777" w:rsidR="0097221B" w:rsidRPr="009A3470" w:rsidRDefault="0097221B" w:rsidP="009A3470">
                  <w:pPr>
                    <w:spacing w:before="120" w:after="120"/>
                    <w:rPr>
                      <w:b/>
                      <w:iCs/>
                    </w:rPr>
                  </w:pPr>
                  <w:r w:rsidRPr="009A3470">
                    <w:rPr>
                      <w:rFonts w:cs="Arial"/>
                      <w:b/>
                      <w:iCs/>
                      <w:color w:val="FF9300"/>
                      <w:shd w:val="clear" w:color="auto" w:fill="FFFFFF"/>
                    </w:rPr>
                    <w:t>Moderate</w:t>
                  </w:r>
                  <w:r w:rsidRPr="009A3470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 xml:space="preserve"> </w:t>
                  </w:r>
                  <w:r w:rsidRPr="009A3470">
                    <w:rPr>
                      <w:b/>
                      <w:iCs/>
                    </w:rPr>
                    <w:t>correlation with Acceptance of Disability Scale (ADS):</w:t>
                  </w:r>
                </w:p>
                <w:p w14:paraId="4080C552" w14:textId="2CD4298E" w:rsidR="0097221B" w:rsidRPr="009A3470" w:rsidRDefault="00E91AD0" w:rsidP="009A3470">
                  <w:pPr>
                    <w:spacing w:before="120" w:after="120"/>
                    <w:rPr>
                      <w:iCs/>
                    </w:rPr>
                  </w:pPr>
                  <w:r w:rsidRPr="009A3470">
                    <w:rPr>
                      <w:iCs/>
                    </w:rPr>
                    <w:t>r</w:t>
                  </w:r>
                  <w:r w:rsidR="0097221B" w:rsidRPr="009A3470">
                    <w:rPr>
                      <w:iCs/>
                    </w:rPr>
                    <w:t xml:space="preserve"> = 0.37-0.59</w:t>
                  </w:r>
                </w:p>
                <w:p w14:paraId="373FF431" w14:textId="3C2F772C" w:rsidR="0043468D" w:rsidRPr="009A3470" w:rsidRDefault="009A3470" w:rsidP="009A3470">
                  <w:pPr>
                    <w:spacing w:before="120" w:after="120"/>
                    <w:rPr>
                      <w:iCs/>
                      <w:sz w:val="16"/>
                      <w:szCs w:val="16"/>
                    </w:rPr>
                  </w:pPr>
                  <w:r w:rsidRPr="009A3470">
                    <w:rPr>
                      <w:rFonts w:cs="Arial"/>
                      <w:iCs/>
                      <w:color w:val="000000"/>
                      <w:sz w:val="16"/>
                      <w:szCs w:val="16"/>
                      <w:shd w:val="clear" w:color="auto" w:fill="FFFFFF"/>
                      <w:lang w:val="en-US"/>
                    </w:rPr>
                    <w:t>(SWBI 20-item version; Catalano et al. 2010; n=413; 293 males; paraplegia; mean (SD) time since SCI: 29.30(14.45) months)</w:t>
                  </w:r>
                </w:p>
                <w:p w14:paraId="7748E5C6" w14:textId="77777777" w:rsidR="009A3470" w:rsidRDefault="009A3470" w:rsidP="009A3470">
                  <w:pPr>
                    <w:spacing w:before="120" w:after="120"/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</w:pPr>
                </w:p>
                <w:p w14:paraId="36563FF7" w14:textId="1C8361BA" w:rsidR="006015FA" w:rsidRPr="002A0AFB" w:rsidRDefault="002A0AFB" w:rsidP="009A3470">
                  <w:pPr>
                    <w:spacing w:before="120" w:after="120"/>
                    <w:rPr>
                      <w:rFonts w:cs="Arial"/>
                      <w:b/>
                      <w:color w:val="FFFFFF" w:themeColor="background1"/>
                    </w:rPr>
                  </w:pPr>
                  <w:r w:rsidRPr="009A3470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 xml:space="preserve">Number of studies reporting validity data: </w:t>
                  </w:r>
                  <w:r w:rsidR="0097221B" w:rsidRPr="009A3470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t>3</w:t>
                  </w:r>
                </w:p>
              </w:tc>
            </w:tr>
          </w:tbl>
          <w:p w14:paraId="3651C05D" w14:textId="77777777" w:rsidR="006015FA" w:rsidRPr="002A0AFB" w:rsidRDefault="006015FA" w:rsidP="00A64F1F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5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794D8619" w14:textId="14739543" w:rsidR="006015FA" w:rsidRPr="002A0AFB" w:rsidRDefault="006015FA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Reliability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</w:t>
            </w:r>
            <w:r w:rsidR="0097221B">
              <w:rPr>
                <w:rFonts w:cs="Arial"/>
                <w:b/>
                <w:color w:val="F0A40C"/>
                <w:sz w:val="26"/>
                <w:szCs w:val="26"/>
                <w:shd w:val="clear" w:color="auto" w:fill="FFFFFF"/>
              </w:rPr>
              <w:t xml:space="preserve"> </w:t>
            </w:r>
            <w:r w:rsidR="00201CFB" w:rsidRPr="00544920">
              <w:rPr>
                <w:rFonts w:cs="Arial"/>
                <w:b/>
                <w:color w:val="00B050"/>
                <w:sz w:val="26"/>
                <w:szCs w:val="26"/>
              </w:rPr>
              <w:t>High</w:t>
            </w:r>
          </w:p>
          <w:tbl>
            <w:tblPr>
              <w:tblStyle w:val="Tablaconcuadrcula"/>
              <w:tblW w:w="5228" w:type="dxa"/>
              <w:tblInd w:w="17" w:type="dxa"/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228"/>
            </w:tblGrid>
            <w:tr w:rsidR="006015FA" w:rsidRPr="002A0AFB" w14:paraId="41986AB5" w14:textId="77777777" w:rsidTr="00B82F5B">
              <w:trPr>
                <w:trHeight w:val="1330"/>
              </w:trPr>
              <w:tc>
                <w:tcPr>
                  <w:tcW w:w="5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113" w:type="dxa"/>
                  </w:tcMar>
                </w:tcPr>
                <w:p w14:paraId="48AADFE9" w14:textId="20DEE28C" w:rsidR="0097221B" w:rsidRPr="009A3470" w:rsidRDefault="0097221B" w:rsidP="009A3470">
                  <w:pPr>
                    <w:spacing w:before="120" w:after="120"/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</w:pPr>
                  <w:r w:rsidRPr="009A3470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>High</w:t>
                  </w:r>
                  <w:r w:rsidRPr="009A3470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 xml:space="preserve"> Internal Consistency: </w:t>
                  </w:r>
                </w:p>
                <w:p w14:paraId="5E5CC862" w14:textId="1A94C7A7" w:rsidR="0097221B" w:rsidRPr="009A3470" w:rsidRDefault="0097221B" w:rsidP="009A3470">
                  <w:pPr>
                    <w:spacing w:before="120" w:after="120"/>
                    <w:rPr>
                      <w:rFonts w:cs="Arial"/>
                      <w:iCs/>
                      <w:color w:val="000000"/>
                      <w:shd w:val="clear" w:color="auto" w:fill="FFFFFF"/>
                    </w:rPr>
                  </w:pPr>
                  <w:r w:rsidRPr="009A3470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t>Psychological Well-Being: α = 0.82</w:t>
                  </w:r>
                </w:p>
                <w:p w14:paraId="2880302B" w14:textId="5DE4BE25" w:rsidR="0097221B" w:rsidRPr="009A3470" w:rsidRDefault="0097221B" w:rsidP="009A3470">
                  <w:pPr>
                    <w:spacing w:before="120" w:after="120"/>
                    <w:rPr>
                      <w:rFonts w:cs="Arial"/>
                      <w:iCs/>
                      <w:color w:val="000000"/>
                      <w:shd w:val="clear" w:color="auto" w:fill="FFFFFF"/>
                    </w:rPr>
                  </w:pPr>
                  <w:r w:rsidRPr="009A3470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t>Financial Well-Being: α = 0.81</w:t>
                  </w:r>
                </w:p>
                <w:p w14:paraId="58C4AFEC" w14:textId="5A466968" w:rsidR="0097221B" w:rsidRPr="009A3470" w:rsidRDefault="0097221B" w:rsidP="009A3470">
                  <w:pPr>
                    <w:spacing w:before="120" w:after="120"/>
                    <w:rPr>
                      <w:rFonts w:cs="Arial"/>
                      <w:iCs/>
                      <w:color w:val="000000"/>
                      <w:shd w:val="clear" w:color="auto" w:fill="FFFFFF"/>
                    </w:rPr>
                  </w:pPr>
                  <w:r w:rsidRPr="009A3470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t>Family and Social Well-Being: α = 0.85</w:t>
                  </w:r>
                </w:p>
                <w:p w14:paraId="0C9DC375" w14:textId="63FBE0AC" w:rsidR="0097221B" w:rsidRPr="009A3470" w:rsidRDefault="0097221B" w:rsidP="009A3470">
                  <w:pPr>
                    <w:spacing w:before="120" w:after="120"/>
                    <w:rPr>
                      <w:rFonts w:cs="Arial"/>
                      <w:iCs/>
                      <w:color w:val="000000"/>
                      <w:shd w:val="clear" w:color="auto" w:fill="FFFFFF"/>
                    </w:rPr>
                  </w:pPr>
                  <w:r w:rsidRPr="009A3470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t>Physical Well-Being: α = 0.81</w:t>
                  </w:r>
                </w:p>
                <w:p w14:paraId="3AC7A72B" w14:textId="77777777" w:rsidR="009A3470" w:rsidRPr="009A3470" w:rsidRDefault="009A3470" w:rsidP="009A3470">
                  <w:pPr>
                    <w:spacing w:before="120" w:after="120"/>
                    <w:rPr>
                      <w:iCs/>
                      <w:sz w:val="16"/>
                      <w:szCs w:val="16"/>
                    </w:rPr>
                  </w:pPr>
                  <w:r w:rsidRPr="009A3470">
                    <w:rPr>
                      <w:rFonts w:cs="Arial"/>
                      <w:iCs/>
                      <w:color w:val="000000"/>
                      <w:sz w:val="16"/>
                      <w:szCs w:val="16"/>
                      <w:shd w:val="clear" w:color="auto" w:fill="FFFFFF"/>
                      <w:lang w:val="en-US"/>
                    </w:rPr>
                    <w:t>(SWBI 20-item version; Catalano et al. 2010; n=413; 293 males; paraplegia; mean (SD) time since SCI: 29.30(14.45) months)</w:t>
                  </w:r>
                </w:p>
                <w:p w14:paraId="53DA7179" w14:textId="77777777" w:rsidR="00B21518" w:rsidRPr="009A3470" w:rsidRDefault="00B21518" w:rsidP="009A3470">
                  <w:pPr>
                    <w:spacing w:before="120" w:after="120"/>
                    <w:rPr>
                      <w:iCs/>
                    </w:rPr>
                  </w:pPr>
                </w:p>
                <w:p w14:paraId="7CED95CA" w14:textId="61FB810F" w:rsidR="006015FA" w:rsidRPr="002A0AFB" w:rsidRDefault="002A0AFB" w:rsidP="009A3470">
                  <w:pPr>
                    <w:spacing w:before="120" w:after="120"/>
                    <w:rPr>
                      <w:rFonts w:cs="Arial"/>
                      <w:color w:val="000000"/>
                      <w:shd w:val="clear" w:color="auto" w:fill="FFFFFF"/>
                      <w:vertAlign w:val="subscript"/>
                    </w:rPr>
                  </w:pPr>
                  <w:r w:rsidRPr="009A3470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 xml:space="preserve">Number of studies reporting reliability data: </w:t>
                  </w:r>
                  <w:r w:rsidR="0097221B" w:rsidRPr="009A3470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t>2</w:t>
                  </w:r>
                </w:p>
              </w:tc>
            </w:tr>
          </w:tbl>
          <w:p w14:paraId="0F428A22" w14:textId="77777777" w:rsidR="006015FA" w:rsidRPr="002A0AFB" w:rsidRDefault="006015FA" w:rsidP="00A64F1F">
            <w:pPr>
              <w:rPr>
                <w:rFonts w:cs="Arial"/>
                <w:color w:val="FFFFFF" w:themeColor="background1"/>
              </w:rPr>
            </w:pPr>
          </w:p>
        </w:tc>
      </w:tr>
      <w:tr w:rsidR="006015FA" w:rsidRPr="00582CA3" w14:paraId="11252CE9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/>
        </w:trPr>
        <w:tc>
          <w:tcPr>
            <w:tcW w:w="10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260B0E02" w14:textId="77777777" w:rsidR="006015FA" w:rsidRPr="002A0AFB" w:rsidRDefault="006015FA" w:rsidP="00ED0A92">
            <w:pPr>
              <w:spacing w:after="40"/>
              <w:jc w:val="center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Responsiveness</w:t>
            </w:r>
          </w:p>
        </w:tc>
      </w:tr>
      <w:tr w:rsidR="006015FA" w14:paraId="32CC1044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/>
        </w:trPr>
        <w:tc>
          <w:tcPr>
            <w:tcW w:w="35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A389360" w14:textId="77777777" w:rsidR="006015FA" w:rsidRPr="002A0AFB" w:rsidRDefault="006015FA" w:rsidP="00A64F1F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>Floor/Ceiling Effect:</w:t>
            </w:r>
          </w:p>
          <w:p w14:paraId="496E380E" w14:textId="13EE8A6E" w:rsidR="006015FA" w:rsidRPr="006C2748" w:rsidRDefault="00B21518" w:rsidP="00B21518">
            <w:r w:rsidRPr="00B21518">
              <w:rPr>
                <w:shd w:val="clear" w:color="auto" w:fill="FFFFFF"/>
              </w:rPr>
              <w:t>Not established in SCI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246943F5" w14:textId="144F9A51" w:rsidR="006015FA" w:rsidRPr="002A0AFB" w:rsidRDefault="00C65F06" w:rsidP="00A64F1F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hd w:val="clear" w:color="auto" w:fill="FFFFFF"/>
              </w:rPr>
              <w:t>Effect Size</w:t>
            </w:r>
            <w:r w:rsidR="006015FA" w:rsidRPr="002A0AFB">
              <w:rPr>
                <w:rFonts w:cs="Arial"/>
                <w:b/>
                <w:color w:val="000000"/>
                <w:shd w:val="clear" w:color="auto" w:fill="FFFFFF"/>
              </w:rPr>
              <w:t xml:space="preserve">: </w:t>
            </w:r>
          </w:p>
          <w:p w14:paraId="7962B75E" w14:textId="6F5C11C1" w:rsidR="00B82F5B" w:rsidRPr="002A0AFB" w:rsidRDefault="00B21518" w:rsidP="00A64F1F">
            <w:pPr>
              <w:rPr>
                <w:rFonts w:cs="Arial"/>
                <w:color w:val="000000"/>
                <w:shd w:val="clear" w:color="auto" w:fill="FFFFFF"/>
              </w:rPr>
            </w:pPr>
            <w:r w:rsidRPr="00B21518">
              <w:rPr>
                <w:shd w:val="clear" w:color="auto" w:fill="FFFFFF"/>
              </w:rPr>
              <w:t>Not established in SCI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B2197DE" w14:textId="46550B13" w:rsidR="006015FA" w:rsidRPr="002A0AFB" w:rsidRDefault="006015FA" w:rsidP="00A64F1F">
            <w:pPr>
              <w:rPr>
                <w:rFonts w:cs="Arial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 xml:space="preserve">Number of studies reporting responsiveness data: </w:t>
            </w:r>
            <w:r w:rsidR="00B21518">
              <w:rPr>
                <w:rFonts w:cs="Arial"/>
                <w:color w:val="000000"/>
                <w:shd w:val="clear" w:color="auto" w:fill="FFFFFF"/>
              </w:rPr>
              <w:t>0</w:t>
            </w:r>
          </w:p>
        </w:tc>
      </w:tr>
    </w:tbl>
    <w:p w14:paraId="71281B26" w14:textId="77777777" w:rsidR="006015FA" w:rsidRPr="007B1C44" w:rsidRDefault="006015FA" w:rsidP="00C3763F">
      <w:pPr>
        <w:rPr>
          <w:rFonts w:cs="Arial"/>
          <w:sz w:val="21"/>
        </w:rPr>
      </w:pPr>
    </w:p>
    <w:sectPr w:rsidR="006015FA" w:rsidRPr="007B1C44" w:rsidSect="006E61E5">
      <w:pgSz w:w="12240" w:h="15840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95146"/>
    <w:multiLevelType w:val="hybridMultilevel"/>
    <w:tmpl w:val="3EB27CEE"/>
    <w:lvl w:ilvl="0" w:tplc="7FB482E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A09EA"/>
    <w:multiLevelType w:val="hybridMultilevel"/>
    <w:tmpl w:val="EDB83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749085">
    <w:abstractNumId w:val="0"/>
  </w:num>
  <w:num w:numId="2" w16cid:durableId="695237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12"/>
    <w:rsid w:val="0003575A"/>
    <w:rsid w:val="00052021"/>
    <w:rsid w:val="000811B9"/>
    <w:rsid w:val="000A3034"/>
    <w:rsid w:val="000C7F96"/>
    <w:rsid w:val="000E1D3D"/>
    <w:rsid w:val="00146704"/>
    <w:rsid w:val="001838AF"/>
    <w:rsid w:val="00186BAA"/>
    <w:rsid w:val="001A0512"/>
    <w:rsid w:val="001B46C2"/>
    <w:rsid w:val="001F567C"/>
    <w:rsid w:val="00201CFB"/>
    <w:rsid w:val="0023370A"/>
    <w:rsid w:val="002474BF"/>
    <w:rsid w:val="0025681A"/>
    <w:rsid w:val="002A0AFB"/>
    <w:rsid w:val="002A51FF"/>
    <w:rsid w:val="002D27FD"/>
    <w:rsid w:val="002E01BE"/>
    <w:rsid w:val="002E25F5"/>
    <w:rsid w:val="00314F64"/>
    <w:rsid w:val="00335E18"/>
    <w:rsid w:val="00341BDA"/>
    <w:rsid w:val="00364D6F"/>
    <w:rsid w:val="00381D82"/>
    <w:rsid w:val="00385098"/>
    <w:rsid w:val="003B7C8E"/>
    <w:rsid w:val="003D76D3"/>
    <w:rsid w:val="003F5363"/>
    <w:rsid w:val="0043468D"/>
    <w:rsid w:val="00435799"/>
    <w:rsid w:val="004A17BC"/>
    <w:rsid w:val="004C17DA"/>
    <w:rsid w:val="004C4A5E"/>
    <w:rsid w:val="004D15D7"/>
    <w:rsid w:val="004D6A00"/>
    <w:rsid w:val="004E4343"/>
    <w:rsid w:val="00520EB0"/>
    <w:rsid w:val="00544920"/>
    <w:rsid w:val="00582CA3"/>
    <w:rsid w:val="00583A45"/>
    <w:rsid w:val="005C2D91"/>
    <w:rsid w:val="005C3738"/>
    <w:rsid w:val="005F27D6"/>
    <w:rsid w:val="006015FA"/>
    <w:rsid w:val="006210DD"/>
    <w:rsid w:val="0067025E"/>
    <w:rsid w:val="006B7CD7"/>
    <w:rsid w:val="006C2748"/>
    <w:rsid w:val="006E61E5"/>
    <w:rsid w:val="0071424B"/>
    <w:rsid w:val="007315F8"/>
    <w:rsid w:val="007570B2"/>
    <w:rsid w:val="007A070B"/>
    <w:rsid w:val="007B1C44"/>
    <w:rsid w:val="007E7FD8"/>
    <w:rsid w:val="007F367F"/>
    <w:rsid w:val="008556B4"/>
    <w:rsid w:val="008609E7"/>
    <w:rsid w:val="008776C0"/>
    <w:rsid w:val="00895B07"/>
    <w:rsid w:val="008974A0"/>
    <w:rsid w:val="008B69C3"/>
    <w:rsid w:val="008D4E79"/>
    <w:rsid w:val="00941054"/>
    <w:rsid w:val="009451CD"/>
    <w:rsid w:val="00963A9B"/>
    <w:rsid w:val="0097221B"/>
    <w:rsid w:val="00996B67"/>
    <w:rsid w:val="009A3470"/>
    <w:rsid w:val="009C3D48"/>
    <w:rsid w:val="00A663F5"/>
    <w:rsid w:val="00A74A38"/>
    <w:rsid w:val="00A815D7"/>
    <w:rsid w:val="00AD6188"/>
    <w:rsid w:val="00B21518"/>
    <w:rsid w:val="00B3410A"/>
    <w:rsid w:val="00B77CC8"/>
    <w:rsid w:val="00B8074E"/>
    <w:rsid w:val="00B82F5B"/>
    <w:rsid w:val="00B8665F"/>
    <w:rsid w:val="00B957DA"/>
    <w:rsid w:val="00BB0D20"/>
    <w:rsid w:val="00BB2894"/>
    <w:rsid w:val="00BE4D3A"/>
    <w:rsid w:val="00C110F8"/>
    <w:rsid w:val="00C3482A"/>
    <w:rsid w:val="00C3763F"/>
    <w:rsid w:val="00C65F06"/>
    <w:rsid w:val="00C921C1"/>
    <w:rsid w:val="00D56929"/>
    <w:rsid w:val="00DB4643"/>
    <w:rsid w:val="00DE06D4"/>
    <w:rsid w:val="00E0510D"/>
    <w:rsid w:val="00E178F4"/>
    <w:rsid w:val="00E2551F"/>
    <w:rsid w:val="00E85D53"/>
    <w:rsid w:val="00E91AD0"/>
    <w:rsid w:val="00ED0A92"/>
    <w:rsid w:val="00F02726"/>
    <w:rsid w:val="00F0516E"/>
    <w:rsid w:val="00F10E24"/>
    <w:rsid w:val="00F11E09"/>
    <w:rsid w:val="00F13DED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F5E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3A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C2D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D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D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D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D9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D9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357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11E09"/>
    <w:pPr>
      <w:numPr>
        <w:ilvl w:val="1"/>
      </w:numPr>
      <w:spacing w:before="120" w:after="120" w:line="240" w:lineRule="auto"/>
    </w:pPr>
    <w:rPr>
      <w:sz w:val="16"/>
    </w:rPr>
  </w:style>
  <w:style w:type="character" w:customStyle="1" w:styleId="SubttuloCar">
    <w:name w:val="Subtítulo Car"/>
    <w:basedOn w:val="Fuentedeprrafopredeter"/>
    <w:link w:val="Subttulo"/>
    <w:uiPriority w:val="11"/>
    <w:rsid w:val="00F11E09"/>
    <w:rPr>
      <w:sz w:val="16"/>
    </w:rPr>
  </w:style>
  <w:style w:type="paragraph" w:styleId="Sinespaciado">
    <w:name w:val="No Spacing"/>
    <w:uiPriority w:val="1"/>
    <w:qFormat/>
    <w:rsid w:val="00C921C1"/>
    <w:pPr>
      <w:spacing w:after="0" w:line="240" w:lineRule="auto"/>
    </w:pPr>
    <w:rPr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97221B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8776C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3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mbridge.org/core/journals/australian-journal-of-rehabilitation-counselling/article/abs/sense-of-wellbeing-inventory-as-a-quality-of-life-measure-for-people-with-spinal-cord-injury/D2628C4C3B90D548161AA45867FC6A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Zhu</dc:creator>
  <cp:keywords/>
  <dc:description/>
  <cp:lastModifiedBy>Carlos Leonardo Cano Herrera</cp:lastModifiedBy>
  <cp:revision>4</cp:revision>
  <dcterms:created xsi:type="dcterms:W3CDTF">2024-08-20T22:18:00Z</dcterms:created>
  <dcterms:modified xsi:type="dcterms:W3CDTF">2024-09-23T19:04:00Z</dcterms:modified>
</cp:coreProperties>
</file>