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BF0E9" w14:textId="77777777" w:rsidR="008974A0" w:rsidRPr="00341BDA" w:rsidRDefault="008974A0"/>
    <w:tbl>
      <w:tblPr>
        <w:tblStyle w:val="Tablaconcuadrcula"/>
        <w:tblW w:w="10745" w:type="dxa"/>
        <w:tblInd w:w="14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CellMar>
          <w:top w:w="113" w:type="dxa"/>
          <w:left w:w="113" w:type="dxa"/>
          <w:bottom w:w="113" w:type="dxa"/>
          <w:right w:w="113" w:type="dxa"/>
        </w:tblCellMar>
        <w:tblLook w:val="04A0" w:firstRow="1" w:lastRow="0" w:firstColumn="1" w:lastColumn="0" w:noHBand="0" w:noVBand="1"/>
      </w:tblPr>
      <w:tblGrid>
        <w:gridCol w:w="3570"/>
        <w:gridCol w:w="11"/>
        <w:gridCol w:w="1806"/>
        <w:gridCol w:w="1701"/>
        <w:gridCol w:w="75"/>
        <w:gridCol w:w="3582"/>
      </w:tblGrid>
      <w:tr w:rsidR="00941054" w:rsidRPr="007B1C44" w14:paraId="43DBE244" w14:textId="77777777" w:rsidTr="00341BDA">
        <w:trPr>
          <w:trHeight w:val="531"/>
        </w:trPr>
        <w:tc>
          <w:tcPr>
            <w:tcW w:w="10745" w:type="dxa"/>
            <w:gridSpan w:val="6"/>
            <w:tcBorders>
              <w:top w:val="nil"/>
              <w:left w:val="nil"/>
              <w:bottom w:val="single" w:sz="12" w:space="0" w:color="FFFFFF"/>
              <w:right w:val="single" w:sz="12" w:space="0" w:color="FFFFFF"/>
            </w:tcBorders>
            <w:shd w:val="clear" w:color="auto" w:fill="073462"/>
            <w:tcMar>
              <w:top w:w="85" w:type="dxa"/>
              <w:left w:w="142" w:type="dxa"/>
              <w:bottom w:w="85" w:type="dxa"/>
              <w:right w:w="142" w:type="dxa"/>
            </w:tcMar>
            <w:vAlign w:val="center"/>
          </w:tcPr>
          <w:p w14:paraId="69A6ECEB" w14:textId="229FA012" w:rsidR="001A0512" w:rsidRPr="005F27D6" w:rsidRDefault="00552B7C" w:rsidP="00552B7C">
            <w:pPr>
              <w:rPr>
                <w:rFonts w:cs="Arial"/>
                <w:b/>
                <w:color w:val="FFFFFF" w:themeColor="background1"/>
                <w:sz w:val="28"/>
                <w:szCs w:val="28"/>
              </w:rPr>
            </w:pPr>
            <w:proofErr w:type="spellStart"/>
            <w:r>
              <w:rPr>
                <w:rFonts w:cs="Arial"/>
                <w:color w:val="FFFFFF" w:themeColor="background1"/>
                <w:sz w:val="28"/>
                <w:szCs w:val="28"/>
                <w:lang w:val="fr-CA"/>
              </w:rPr>
              <w:t>Sexual</w:t>
            </w:r>
            <w:proofErr w:type="spellEnd"/>
            <w:r>
              <w:rPr>
                <w:rFonts w:cs="Arial"/>
                <w:color w:val="FFFFFF" w:themeColor="background1"/>
                <w:sz w:val="28"/>
                <w:szCs w:val="28"/>
                <w:lang w:val="fr-CA"/>
              </w:rPr>
              <w:t xml:space="preserve"> </w:t>
            </w:r>
            <w:proofErr w:type="spellStart"/>
            <w:r w:rsidRPr="00552B7C">
              <w:rPr>
                <w:rFonts w:cs="Arial"/>
                <w:color w:val="FFFFFF" w:themeColor="background1"/>
                <w:sz w:val="28"/>
                <w:szCs w:val="28"/>
                <w:lang w:val="fr-CA"/>
              </w:rPr>
              <w:t>Interest</w:t>
            </w:r>
            <w:proofErr w:type="spellEnd"/>
            <w:r w:rsidRPr="00552B7C">
              <w:rPr>
                <w:rFonts w:cs="Arial"/>
                <w:color w:val="FFFFFF" w:themeColor="background1"/>
                <w:sz w:val="28"/>
                <w:szCs w:val="28"/>
                <w:lang w:val="fr-CA"/>
              </w:rPr>
              <w:t>,</w:t>
            </w:r>
            <w:r>
              <w:rPr>
                <w:rFonts w:cs="Arial"/>
                <w:color w:val="FFFFFF" w:themeColor="background1"/>
                <w:sz w:val="28"/>
                <w:szCs w:val="28"/>
                <w:lang w:val="fr-CA"/>
              </w:rPr>
              <w:t xml:space="preserve"> </w:t>
            </w:r>
            <w:r w:rsidRPr="00552B7C">
              <w:rPr>
                <w:rFonts w:cs="Arial"/>
                <w:color w:val="FFFFFF" w:themeColor="background1"/>
                <w:sz w:val="28"/>
                <w:szCs w:val="28"/>
                <w:lang w:val="fr-CA"/>
              </w:rPr>
              <w:t>Activity</w:t>
            </w:r>
            <w:r>
              <w:rPr>
                <w:rFonts w:cs="Arial"/>
                <w:color w:val="FFFFFF" w:themeColor="background1"/>
                <w:sz w:val="28"/>
                <w:szCs w:val="28"/>
                <w:lang w:val="fr-CA"/>
              </w:rPr>
              <w:t xml:space="preserve"> </w:t>
            </w:r>
            <w:r w:rsidRPr="00552B7C">
              <w:rPr>
                <w:rFonts w:cs="Arial"/>
                <w:color w:val="FFFFFF" w:themeColor="background1"/>
                <w:sz w:val="28"/>
                <w:szCs w:val="28"/>
                <w:lang w:val="fr-CA"/>
              </w:rPr>
              <w:t>and</w:t>
            </w:r>
            <w:r>
              <w:rPr>
                <w:rFonts w:cs="Arial"/>
                <w:color w:val="FFFFFF" w:themeColor="background1"/>
                <w:sz w:val="28"/>
                <w:szCs w:val="28"/>
                <w:lang w:val="fr-CA"/>
              </w:rPr>
              <w:t xml:space="preserve"> </w:t>
            </w:r>
            <w:r w:rsidRPr="00552B7C">
              <w:rPr>
                <w:rFonts w:cs="Arial"/>
                <w:color w:val="FFFFFF" w:themeColor="background1"/>
                <w:sz w:val="28"/>
                <w:szCs w:val="28"/>
                <w:lang w:val="fr-CA"/>
              </w:rPr>
              <w:t>Satisfaction</w:t>
            </w:r>
            <w:r>
              <w:rPr>
                <w:rFonts w:cs="Arial"/>
                <w:color w:val="FFFFFF" w:themeColor="background1"/>
                <w:sz w:val="28"/>
                <w:szCs w:val="28"/>
                <w:lang w:val="fr-CA"/>
              </w:rPr>
              <w:t xml:space="preserve"> </w:t>
            </w:r>
            <w:r w:rsidRPr="00552B7C">
              <w:rPr>
                <w:rFonts w:cs="Arial"/>
                <w:color w:val="FFFFFF" w:themeColor="background1"/>
                <w:sz w:val="28"/>
                <w:szCs w:val="28"/>
                <w:lang w:val="fr-CA"/>
              </w:rPr>
              <w:t>(SIAS)</w:t>
            </w:r>
            <w:r>
              <w:rPr>
                <w:rFonts w:cs="Arial"/>
                <w:color w:val="FFFFFF" w:themeColor="background1"/>
                <w:sz w:val="28"/>
                <w:szCs w:val="28"/>
                <w:lang w:val="fr-CA"/>
              </w:rPr>
              <w:t xml:space="preserve"> </w:t>
            </w:r>
            <w:r w:rsidRPr="00552B7C">
              <w:rPr>
                <w:rFonts w:cs="Arial"/>
                <w:color w:val="FFFFFF" w:themeColor="background1"/>
                <w:sz w:val="28"/>
                <w:szCs w:val="28"/>
                <w:lang w:val="fr-CA"/>
              </w:rPr>
              <w:t>/</w:t>
            </w:r>
            <w:r>
              <w:rPr>
                <w:rFonts w:cs="Arial"/>
                <w:color w:val="FFFFFF" w:themeColor="background1"/>
                <w:sz w:val="28"/>
                <w:szCs w:val="28"/>
                <w:lang w:val="fr-CA"/>
              </w:rPr>
              <w:t xml:space="preserve"> </w:t>
            </w:r>
            <w:proofErr w:type="spellStart"/>
            <w:r w:rsidRPr="00552B7C">
              <w:rPr>
                <w:rFonts w:cs="Arial"/>
                <w:color w:val="FFFFFF" w:themeColor="background1"/>
                <w:sz w:val="28"/>
                <w:szCs w:val="28"/>
                <w:lang w:val="fr-CA"/>
              </w:rPr>
              <w:t>Sexual</w:t>
            </w:r>
            <w:proofErr w:type="spellEnd"/>
            <w:r>
              <w:rPr>
                <w:rFonts w:cs="Arial"/>
                <w:color w:val="FFFFFF" w:themeColor="background1"/>
                <w:sz w:val="28"/>
                <w:szCs w:val="28"/>
                <w:lang w:val="fr-CA"/>
              </w:rPr>
              <w:t xml:space="preserve"> </w:t>
            </w:r>
            <w:r w:rsidRPr="00552B7C">
              <w:rPr>
                <w:rFonts w:cs="Arial"/>
                <w:color w:val="FFFFFF" w:themeColor="background1"/>
                <w:sz w:val="28"/>
                <w:szCs w:val="28"/>
                <w:lang w:val="fr-CA"/>
              </w:rPr>
              <w:t>A</w:t>
            </w:r>
            <w:r>
              <w:rPr>
                <w:rFonts w:cs="Arial"/>
                <w:color w:val="FFFFFF" w:themeColor="background1"/>
                <w:sz w:val="28"/>
                <w:szCs w:val="28"/>
                <w:lang w:val="fr-CA"/>
              </w:rPr>
              <w:t>ctivity</w:t>
            </w:r>
            <w:r>
              <w:rPr>
                <w:rFonts w:cs="Arial"/>
                <w:color w:val="FFFFFF" w:themeColor="background1"/>
                <w:sz w:val="28"/>
                <w:szCs w:val="28"/>
                <w:lang w:val="fr-CA"/>
              </w:rPr>
              <w:tab/>
              <w:t xml:space="preserve">and Satisfaction (SAS) </w:t>
            </w:r>
            <w:proofErr w:type="spellStart"/>
            <w:r w:rsidRPr="00552B7C">
              <w:rPr>
                <w:rFonts w:cs="Arial"/>
                <w:color w:val="FFFFFF" w:themeColor="background1"/>
                <w:sz w:val="28"/>
                <w:szCs w:val="28"/>
                <w:lang w:val="fr-CA"/>
              </w:rPr>
              <w:t>Scales</w:t>
            </w:r>
            <w:proofErr w:type="spellEnd"/>
          </w:p>
        </w:tc>
      </w:tr>
      <w:tr w:rsidR="00941054" w:rsidRPr="007B1C44" w14:paraId="187DC58D" w14:textId="77777777" w:rsidTr="00341BDA">
        <w:trPr>
          <w:trHeight w:val="416"/>
        </w:trPr>
        <w:tc>
          <w:tcPr>
            <w:tcW w:w="10745" w:type="dxa"/>
            <w:gridSpan w:val="6"/>
            <w:tcBorders>
              <w:top w:val="single" w:sz="12" w:space="0" w:color="FFFFFF"/>
              <w:left w:val="nil"/>
              <w:bottom w:val="nil"/>
              <w:right w:val="single" w:sz="12" w:space="0" w:color="FFFFFF"/>
            </w:tcBorders>
            <w:shd w:val="clear" w:color="auto" w:fill="8496B0" w:themeFill="text2" w:themeFillTint="99"/>
            <w:tcMar>
              <w:top w:w="85" w:type="dxa"/>
              <w:left w:w="142" w:type="dxa"/>
              <w:bottom w:w="85" w:type="dxa"/>
              <w:right w:w="142" w:type="dxa"/>
            </w:tcMar>
            <w:vAlign w:val="center"/>
          </w:tcPr>
          <w:p w14:paraId="65841DF2" w14:textId="77777777" w:rsidR="00B8074E" w:rsidRPr="00435799" w:rsidRDefault="000E1D3D" w:rsidP="00341BDA">
            <w:pPr>
              <w:rPr>
                <w:rFonts w:cs="Arial"/>
                <w:b/>
                <w:bCs/>
                <w:color w:val="FFFFFF" w:themeColor="background1"/>
                <w:sz w:val="28"/>
                <w:szCs w:val="28"/>
              </w:rPr>
            </w:pPr>
            <w:r w:rsidRPr="00435799">
              <w:rPr>
                <w:rFonts w:cs="Arial"/>
                <w:b/>
                <w:color w:val="FFFFFF" w:themeColor="background1"/>
                <w:sz w:val="28"/>
                <w:szCs w:val="28"/>
              </w:rPr>
              <w:t xml:space="preserve">Assessment </w:t>
            </w:r>
            <w:r w:rsidR="00B8074E" w:rsidRPr="00435799">
              <w:rPr>
                <w:rFonts w:cs="Arial"/>
                <w:b/>
                <w:bCs/>
                <w:color w:val="FFFFFF" w:themeColor="background1"/>
                <w:sz w:val="28"/>
                <w:szCs w:val="28"/>
              </w:rPr>
              <w:t>Overview</w:t>
            </w:r>
          </w:p>
        </w:tc>
      </w:tr>
      <w:tr w:rsidR="00941054" w:rsidRPr="007B1C44" w14:paraId="4F0F516C" w14:textId="77777777" w:rsidTr="002A0AFB">
        <w:trPr>
          <w:trHeight w:val="1701"/>
        </w:trPr>
        <w:tc>
          <w:tcPr>
            <w:tcW w:w="3570" w:type="dxa"/>
            <w:tcBorders>
              <w:top w:val="single" w:sz="12" w:space="0" w:color="FFFFFF"/>
              <w:left w:val="nil"/>
              <w:bottom w:val="nil"/>
              <w:right w:val="single" w:sz="4" w:space="0" w:color="FFFFFF" w:themeColor="background1"/>
            </w:tcBorders>
            <w:shd w:val="clear" w:color="auto" w:fill="DBDBDB" w:themeFill="accent3" w:themeFillTint="66"/>
            <w:tcMar>
              <w:top w:w="85" w:type="dxa"/>
              <w:left w:w="142" w:type="dxa"/>
              <w:bottom w:w="85" w:type="dxa"/>
              <w:right w:w="142" w:type="dxa"/>
            </w:tcMar>
          </w:tcPr>
          <w:p w14:paraId="2C1076A2" w14:textId="77777777" w:rsidR="00A815D7" w:rsidRPr="002A0AFB" w:rsidRDefault="00A815D7" w:rsidP="008974A0">
            <w:pPr>
              <w:spacing w:after="40"/>
              <w:rPr>
                <w:rFonts w:cs="Arial"/>
                <w:color w:val="222A35" w:themeColor="text2" w:themeShade="80"/>
                <w:sz w:val="26"/>
                <w:szCs w:val="26"/>
              </w:rPr>
            </w:pPr>
            <w:r w:rsidRPr="002A0AFB">
              <w:rPr>
                <w:rFonts w:cs="Arial"/>
                <w:color w:val="222A35" w:themeColor="text2" w:themeShade="80"/>
                <w:sz w:val="26"/>
                <w:szCs w:val="26"/>
              </w:rPr>
              <w:t>Assessment Area</w:t>
            </w:r>
          </w:p>
          <w:tbl>
            <w:tblPr>
              <w:tblStyle w:val="Tablaconcuadrcula"/>
              <w:tblW w:w="0" w:type="auto"/>
              <w:tblInd w:w="1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CellMar>
                <w:top w:w="85" w:type="dxa"/>
                <w:bottom w:w="85" w:type="dxa"/>
              </w:tblCellMar>
              <w:tblLook w:val="04A0" w:firstRow="1" w:lastRow="0" w:firstColumn="1" w:lastColumn="0" w:noHBand="0" w:noVBand="1"/>
            </w:tblPr>
            <w:tblGrid>
              <w:gridCol w:w="3243"/>
            </w:tblGrid>
            <w:tr w:rsidR="00A815D7" w:rsidRPr="007B1C44" w14:paraId="21DADDEC" w14:textId="77777777" w:rsidTr="006B7CD7">
              <w:trPr>
                <w:trHeight w:val="184"/>
              </w:trPr>
              <w:tc>
                <w:tcPr>
                  <w:tcW w:w="3243" w:type="dxa"/>
                  <w:shd w:val="clear" w:color="auto" w:fill="FFFFFF" w:themeFill="background1"/>
                </w:tcPr>
                <w:p w14:paraId="2C7F18DA" w14:textId="7667B792" w:rsidR="007E7FD8" w:rsidRDefault="005F27D6" w:rsidP="000A3034">
                  <w:pPr>
                    <w:rPr>
                      <w:b/>
                      <w:lang w:val="en-US"/>
                    </w:rPr>
                  </w:pPr>
                  <w:r w:rsidRPr="007E7FD8">
                    <w:rPr>
                      <w:b/>
                      <w:lang w:val="en-US"/>
                    </w:rPr>
                    <w:t>ICF Domain:</w:t>
                  </w:r>
                </w:p>
                <w:p w14:paraId="3FDF5B06" w14:textId="234C2176" w:rsidR="00341BDA" w:rsidRDefault="00552B7C" w:rsidP="000A3034">
                  <w:pPr>
                    <w:rPr>
                      <w:lang w:val="en-US"/>
                    </w:rPr>
                  </w:pPr>
                  <w:r>
                    <w:rPr>
                      <w:lang w:val="en-US"/>
                    </w:rPr>
                    <w:t>Body Function</w:t>
                  </w:r>
                </w:p>
                <w:p w14:paraId="0B4F25BF" w14:textId="0B8EEEF8" w:rsidR="00F11E09" w:rsidRPr="00F11E09" w:rsidRDefault="00F11E09" w:rsidP="000A3034">
                  <w:pPr>
                    <w:rPr>
                      <w:b/>
                      <w:lang w:val="en-US"/>
                    </w:rPr>
                  </w:pPr>
                  <w:r w:rsidRPr="00F11E09">
                    <w:rPr>
                      <w:b/>
                      <w:lang w:val="en-US"/>
                    </w:rPr>
                    <w:t>Subcategory:</w:t>
                  </w:r>
                </w:p>
                <w:p w14:paraId="438008B5" w14:textId="4EEF469A" w:rsidR="00341BDA" w:rsidRPr="00F11E09" w:rsidRDefault="00552B7C" w:rsidP="00552B7C">
                  <w:pPr>
                    <w:rPr>
                      <w:lang w:val="en-US"/>
                    </w:rPr>
                  </w:pPr>
                  <w:r w:rsidRPr="00552B7C">
                    <w:rPr>
                      <w:lang w:val="en-US"/>
                    </w:rPr>
                    <w:t>Functions</w:t>
                  </w:r>
                  <w:r>
                    <w:rPr>
                      <w:lang w:val="en-US"/>
                    </w:rPr>
                    <w:t xml:space="preserve"> </w:t>
                  </w:r>
                  <w:r w:rsidRPr="00552B7C">
                    <w:rPr>
                      <w:lang w:val="en-US"/>
                    </w:rPr>
                    <w:t>of</w:t>
                  </w:r>
                  <w:r>
                    <w:rPr>
                      <w:lang w:val="en-US"/>
                    </w:rPr>
                    <w:t xml:space="preserve"> the </w:t>
                  </w:r>
                  <w:r w:rsidRPr="00552B7C">
                    <w:rPr>
                      <w:lang w:val="en-US"/>
                    </w:rPr>
                    <w:t>Reproductive</w:t>
                  </w:r>
                  <w:r>
                    <w:rPr>
                      <w:lang w:val="en-US"/>
                    </w:rPr>
                    <w:t xml:space="preserve"> </w:t>
                  </w:r>
                  <w:r w:rsidRPr="00552B7C">
                    <w:rPr>
                      <w:lang w:val="en-US"/>
                    </w:rPr>
                    <w:t>System</w:t>
                  </w:r>
                </w:p>
              </w:tc>
            </w:tr>
          </w:tbl>
          <w:p w14:paraId="64807C3A" w14:textId="77777777" w:rsidR="00A815D7" w:rsidRPr="007B1C44" w:rsidRDefault="00A815D7" w:rsidP="002E01BE">
            <w:pPr>
              <w:rPr>
                <w:rFonts w:cs="Arial"/>
                <w:color w:val="FFFFFF" w:themeColor="background1"/>
                <w:sz w:val="21"/>
              </w:rPr>
            </w:pPr>
          </w:p>
        </w:tc>
        <w:tc>
          <w:tcPr>
            <w:tcW w:w="7175" w:type="dxa"/>
            <w:gridSpan w:val="5"/>
            <w:vMerge w:val="restart"/>
            <w:tcBorders>
              <w:top w:val="single" w:sz="12" w:space="0" w:color="FFFFFF"/>
              <w:left w:val="single" w:sz="4" w:space="0" w:color="FFFFFF" w:themeColor="background1"/>
              <w:bottom w:val="nil"/>
              <w:right w:val="single" w:sz="12" w:space="0" w:color="FFFFFF"/>
            </w:tcBorders>
            <w:shd w:val="clear" w:color="auto" w:fill="525252" w:themeFill="accent3" w:themeFillShade="80"/>
            <w:tcMar>
              <w:top w:w="85" w:type="dxa"/>
              <w:left w:w="142" w:type="dxa"/>
              <w:bottom w:w="85" w:type="dxa"/>
              <w:right w:w="142" w:type="dxa"/>
            </w:tcMar>
          </w:tcPr>
          <w:p w14:paraId="302AA094" w14:textId="77777777" w:rsidR="00A815D7" w:rsidRPr="002A0AFB" w:rsidRDefault="00A815D7" w:rsidP="0067025E">
            <w:pPr>
              <w:spacing w:after="40"/>
              <w:rPr>
                <w:rFonts w:cs="Arial"/>
                <w:color w:val="FFFFFF" w:themeColor="background1"/>
                <w:sz w:val="26"/>
                <w:szCs w:val="26"/>
              </w:rPr>
            </w:pPr>
            <w:r w:rsidRPr="002A0AFB">
              <w:rPr>
                <w:rFonts w:cs="Arial"/>
                <w:color w:val="FFFFFF" w:themeColor="background1"/>
                <w:sz w:val="26"/>
                <w:szCs w:val="26"/>
              </w:rPr>
              <w:t>Summary</w:t>
            </w:r>
          </w:p>
          <w:tbl>
            <w:tblPr>
              <w:tblStyle w:val="Tablaconcuadrcula"/>
              <w:tblW w:w="6737" w:type="dxa"/>
              <w:tblInd w:w="17"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none" w:sz="0" w:space="0" w:color="auto"/>
                <w:insideV w:val="none" w:sz="0" w:space="0" w:color="auto"/>
              </w:tblBorders>
              <w:tblLayout w:type="fixed"/>
              <w:tblCellMar>
                <w:top w:w="113" w:type="dxa"/>
                <w:bottom w:w="113" w:type="dxa"/>
              </w:tblCellMar>
              <w:tblLook w:val="04A0" w:firstRow="1" w:lastRow="0" w:firstColumn="1" w:lastColumn="0" w:noHBand="0" w:noVBand="1"/>
            </w:tblPr>
            <w:tblGrid>
              <w:gridCol w:w="6737"/>
            </w:tblGrid>
            <w:tr w:rsidR="00A815D7" w:rsidRPr="007B1C44" w14:paraId="0467A076" w14:textId="77777777" w:rsidTr="00341BDA">
              <w:trPr>
                <w:trHeight w:val="1777"/>
              </w:trPr>
              <w:tc>
                <w:tcPr>
                  <w:tcW w:w="6737" w:type="dxa"/>
                  <w:shd w:val="clear" w:color="auto" w:fill="FFFFFF" w:themeFill="background1"/>
                </w:tcPr>
                <w:p w14:paraId="7C33935E" w14:textId="77777777" w:rsidR="007E07E8" w:rsidRDefault="00581051" w:rsidP="00581051">
                  <w:pPr>
                    <w:rPr>
                      <w:lang w:val="en-US"/>
                    </w:rPr>
                  </w:pPr>
                  <w:r>
                    <w:rPr>
                      <w:lang w:val="en-US"/>
                    </w:rPr>
                    <w:t xml:space="preserve">The </w:t>
                  </w:r>
                  <w:r w:rsidRPr="00581051">
                    <w:rPr>
                      <w:lang w:val="en-US"/>
                    </w:rPr>
                    <w:t>Sexual Interest, A</w:t>
                  </w:r>
                  <w:r>
                    <w:rPr>
                      <w:lang w:val="en-US"/>
                    </w:rPr>
                    <w:t xml:space="preserve">ctivity and Satisfaction (SIAS) &amp; Sexual Activity </w:t>
                  </w:r>
                  <w:r w:rsidRPr="00581051">
                    <w:rPr>
                      <w:lang w:val="en-US"/>
                    </w:rPr>
                    <w:t>and Satisfaction (SAS) Scales</w:t>
                  </w:r>
                  <w:r>
                    <w:rPr>
                      <w:lang w:val="en-US"/>
                    </w:rPr>
                    <w:t xml:space="preserve"> are self-report scales which</w:t>
                  </w:r>
                  <w:r w:rsidRPr="00581051">
                    <w:rPr>
                      <w:lang w:val="en-US"/>
                    </w:rPr>
                    <w:t xml:space="preserve"> </w:t>
                  </w:r>
                  <w:r>
                    <w:rPr>
                      <w:lang w:val="en-US"/>
                    </w:rPr>
                    <w:t xml:space="preserve">investigate </w:t>
                  </w:r>
                  <w:r w:rsidRPr="00581051">
                    <w:rPr>
                      <w:lang w:val="en-US"/>
                    </w:rPr>
                    <w:t xml:space="preserve">sexual activity and satisfaction of </w:t>
                  </w:r>
                  <w:r w:rsidR="00E15100">
                    <w:rPr>
                      <w:lang w:val="en-US"/>
                    </w:rPr>
                    <w:t>people</w:t>
                  </w:r>
                  <w:r w:rsidRPr="00581051">
                    <w:rPr>
                      <w:lang w:val="en-US"/>
                    </w:rPr>
                    <w:t xml:space="preserve"> with SCI</w:t>
                  </w:r>
                  <w:r w:rsidR="00063E5B">
                    <w:rPr>
                      <w:lang w:val="en-US"/>
                    </w:rPr>
                    <w:t xml:space="preserve">. </w:t>
                  </w:r>
                </w:p>
                <w:p w14:paraId="3B357A28" w14:textId="77777777" w:rsidR="007E07E8" w:rsidRDefault="007E07E8" w:rsidP="00581051">
                  <w:pPr>
                    <w:rPr>
                      <w:lang w:val="en-US"/>
                    </w:rPr>
                  </w:pPr>
                </w:p>
                <w:p w14:paraId="4F016AB6" w14:textId="6551976F" w:rsidR="00435799" w:rsidRPr="002A0AFB" w:rsidRDefault="00063E5B" w:rsidP="00581051">
                  <w:pPr>
                    <w:rPr>
                      <w:lang w:val="en-US"/>
                    </w:rPr>
                  </w:pPr>
                  <w:r w:rsidRPr="00063E5B">
                    <w:rPr>
                      <w:lang w:val="en-US"/>
                    </w:rPr>
                    <w:t>Th</w:t>
                  </w:r>
                  <w:r w:rsidR="007E07E8">
                    <w:rPr>
                      <w:lang w:val="en-US"/>
                    </w:rPr>
                    <w:t>ese</w:t>
                  </w:r>
                  <w:r w:rsidRPr="00063E5B">
                    <w:rPr>
                      <w:lang w:val="en-US"/>
                    </w:rPr>
                    <w:t xml:space="preserve"> tool</w:t>
                  </w:r>
                  <w:r w:rsidR="007E07E8">
                    <w:rPr>
                      <w:lang w:val="en-US"/>
                    </w:rPr>
                    <w:t xml:space="preserve">s are </w:t>
                  </w:r>
                  <w:r w:rsidRPr="00063E5B">
                    <w:rPr>
                      <w:lang w:val="en-US"/>
                    </w:rPr>
                    <w:t>one</w:t>
                  </w:r>
                  <w:r w:rsidR="007E07E8">
                    <w:rPr>
                      <w:lang w:val="en-US"/>
                    </w:rPr>
                    <w:t>s</w:t>
                  </w:r>
                  <w:r w:rsidRPr="00063E5B">
                    <w:rPr>
                      <w:lang w:val="en-US"/>
                    </w:rPr>
                    <w:t xml:space="preserve"> of the better-researched measures within the area of sexual interest and satisfaction</w:t>
                  </w:r>
                  <w:r w:rsidR="007E07E8">
                    <w:rPr>
                      <w:lang w:val="en-US"/>
                    </w:rPr>
                    <w:t>:</w:t>
                  </w:r>
                  <w:r w:rsidRPr="00063E5B">
                    <w:rPr>
                      <w:lang w:val="en-US"/>
                    </w:rPr>
                    <w:t xml:space="preserve"> There is strong psychometric support for the scales. However, the items may contain content that is culturally sensitive.</w:t>
                  </w:r>
                  <w:r>
                    <w:rPr>
                      <w:lang w:val="en-US"/>
                    </w:rPr>
                    <w:t xml:space="preserve"> </w:t>
                  </w:r>
                  <w:proofErr w:type="gramStart"/>
                  <w:r w:rsidRPr="00063E5B">
                    <w:rPr>
                      <w:lang w:val="en-US"/>
                    </w:rPr>
                    <w:t>Both of these</w:t>
                  </w:r>
                  <w:proofErr w:type="gramEnd"/>
                  <w:r w:rsidRPr="00063E5B">
                    <w:rPr>
                      <w:lang w:val="en-US"/>
                    </w:rPr>
                    <w:t xml:space="preserve"> tools may be clinically useful to assist in understanding, describing and quantifying the sexual activity and satisfaction of individuals with SCI (both tetra and paraplegia). Ultimately, these tools may also be effective in evaluating the effectiveness of sex specific interventions.</w:t>
                  </w:r>
                </w:p>
              </w:tc>
            </w:tr>
          </w:tbl>
          <w:p w14:paraId="16838844" w14:textId="77777777" w:rsidR="00A815D7" w:rsidRPr="007B1C44" w:rsidRDefault="00A815D7" w:rsidP="002E01BE">
            <w:pPr>
              <w:rPr>
                <w:rFonts w:cs="Arial"/>
                <w:color w:val="FFFFFF" w:themeColor="background1"/>
                <w:sz w:val="21"/>
              </w:rPr>
            </w:pPr>
          </w:p>
        </w:tc>
      </w:tr>
      <w:tr w:rsidR="00941054" w:rsidRPr="007B1C44" w14:paraId="35C9638D" w14:textId="77777777" w:rsidTr="00341BDA">
        <w:trPr>
          <w:trHeight w:val="1927"/>
        </w:trPr>
        <w:tc>
          <w:tcPr>
            <w:tcW w:w="3570" w:type="dxa"/>
            <w:vMerge w:val="restart"/>
            <w:tcBorders>
              <w:top w:val="nil"/>
              <w:left w:val="nil"/>
              <w:right w:val="single" w:sz="4" w:space="0" w:color="FFFFFF" w:themeColor="background1"/>
            </w:tcBorders>
            <w:shd w:val="clear" w:color="auto" w:fill="DBDBDB" w:themeFill="accent3" w:themeFillTint="66"/>
            <w:tcMar>
              <w:top w:w="85" w:type="dxa"/>
              <w:left w:w="142" w:type="dxa"/>
              <w:bottom w:w="85" w:type="dxa"/>
              <w:right w:w="142" w:type="dxa"/>
            </w:tcMar>
          </w:tcPr>
          <w:p w14:paraId="19B38955" w14:textId="3E3C6FB7" w:rsidR="002A51FF" w:rsidRPr="002A0AFB" w:rsidRDefault="00435799" w:rsidP="0067025E">
            <w:pPr>
              <w:spacing w:after="40"/>
              <w:rPr>
                <w:rFonts w:cs="Arial"/>
                <w:color w:val="222A35" w:themeColor="text2" w:themeShade="80"/>
                <w:sz w:val="26"/>
                <w:szCs w:val="26"/>
              </w:rPr>
            </w:pPr>
            <w:r w:rsidRPr="002A0AFB">
              <w:rPr>
                <w:rFonts w:cs="Arial"/>
                <w:color w:val="222A35" w:themeColor="text2" w:themeShade="80"/>
                <w:sz w:val="26"/>
                <w:szCs w:val="26"/>
              </w:rPr>
              <w:t>You Will Need</w:t>
            </w:r>
          </w:p>
          <w:tbl>
            <w:tblPr>
              <w:tblStyle w:val="Tablaconcuadrcula"/>
              <w:tblW w:w="0" w:type="auto"/>
              <w:tblInd w:w="17"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none" w:sz="0" w:space="0" w:color="auto"/>
                <w:insideV w:val="none" w:sz="0" w:space="0" w:color="auto"/>
              </w:tblBorders>
              <w:tblLayout w:type="fixed"/>
              <w:tblCellMar>
                <w:top w:w="113" w:type="dxa"/>
                <w:bottom w:w="113" w:type="dxa"/>
              </w:tblCellMar>
              <w:tblLook w:val="04A0" w:firstRow="1" w:lastRow="0" w:firstColumn="1" w:lastColumn="0" w:noHBand="0" w:noVBand="1"/>
            </w:tblPr>
            <w:tblGrid>
              <w:gridCol w:w="3243"/>
            </w:tblGrid>
            <w:tr w:rsidR="002A51FF" w:rsidRPr="007B1C44" w14:paraId="2DC596B2" w14:textId="77777777" w:rsidTr="006B7CD7">
              <w:trPr>
                <w:trHeight w:val="1570"/>
              </w:trPr>
              <w:tc>
                <w:tcPr>
                  <w:tcW w:w="3243" w:type="dxa"/>
                  <w:tcBorders>
                    <w:top w:val="nil"/>
                    <w:left w:val="nil"/>
                    <w:bottom w:val="nil"/>
                    <w:right w:val="nil"/>
                  </w:tcBorders>
                  <w:shd w:val="clear" w:color="auto" w:fill="FFFFFF" w:themeFill="background1"/>
                </w:tcPr>
                <w:p w14:paraId="1F557AB7" w14:textId="77777777" w:rsidR="00C921C1" w:rsidRDefault="005F27D6" w:rsidP="005F27D6">
                  <w:pPr>
                    <w:rPr>
                      <w:rFonts w:cs="Arial"/>
                      <w:b/>
                    </w:rPr>
                  </w:pPr>
                  <w:r w:rsidRPr="002A0AFB">
                    <w:rPr>
                      <w:rFonts w:cs="Arial"/>
                      <w:b/>
                    </w:rPr>
                    <w:t xml:space="preserve">Length: </w:t>
                  </w:r>
                </w:p>
                <w:p w14:paraId="1419F6BA" w14:textId="11D3EDAD" w:rsidR="00552B7C" w:rsidRDefault="00552B7C" w:rsidP="005F27D6">
                  <w:pPr>
                    <w:rPr>
                      <w:rFonts w:cs="Arial"/>
                    </w:rPr>
                  </w:pPr>
                  <w:r>
                    <w:rPr>
                      <w:rFonts w:cs="Arial"/>
                    </w:rPr>
                    <w:t>SIAS – 6</w:t>
                  </w:r>
                  <w:r w:rsidR="00F11E09">
                    <w:rPr>
                      <w:rFonts w:cs="Arial"/>
                    </w:rPr>
                    <w:t xml:space="preserve"> items</w:t>
                  </w:r>
                  <w:r>
                    <w:rPr>
                      <w:rFonts w:cs="Arial"/>
                    </w:rPr>
                    <w:t>; SAS – 3 items</w:t>
                  </w:r>
                </w:p>
                <w:p w14:paraId="4BC3DE8F" w14:textId="780E3F6B" w:rsidR="00063E5B" w:rsidRDefault="00063E5B" w:rsidP="005F27D6">
                  <w:pPr>
                    <w:rPr>
                      <w:rFonts w:cs="Arial"/>
                    </w:rPr>
                  </w:pPr>
                  <w:r>
                    <w:rPr>
                      <w:rFonts w:cs="Arial"/>
                    </w:rPr>
                    <w:t>&lt; 5 minutes for either scale</w:t>
                  </w:r>
                </w:p>
                <w:p w14:paraId="40FE588A" w14:textId="77777777" w:rsidR="00544920" w:rsidRDefault="00544920" w:rsidP="005F27D6">
                  <w:pPr>
                    <w:rPr>
                      <w:rFonts w:cs="Arial"/>
                    </w:rPr>
                  </w:pPr>
                  <w:r w:rsidRPr="00544920">
                    <w:rPr>
                      <w:rFonts w:cs="Arial"/>
                      <w:b/>
                    </w:rPr>
                    <w:t>Scoring</w:t>
                  </w:r>
                  <w:r>
                    <w:rPr>
                      <w:rFonts w:cs="Arial"/>
                      <w:b/>
                    </w:rPr>
                    <w:t>:</w:t>
                  </w:r>
                </w:p>
                <w:p w14:paraId="4D4821C0" w14:textId="4E628B61" w:rsidR="00063E5B" w:rsidRDefault="00063E5B" w:rsidP="00063E5B">
                  <w:pPr>
                    <w:rPr>
                      <w:rFonts w:cs="Arial"/>
                    </w:rPr>
                  </w:pPr>
                  <w:r>
                    <w:rPr>
                      <w:rFonts w:cs="Arial"/>
                    </w:rPr>
                    <w:t>Item are scored from 1-3 to 1-8.</w:t>
                  </w:r>
                </w:p>
                <w:p w14:paraId="17A84757" w14:textId="179BB6E3" w:rsidR="00544920" w:rsidRPr="00544920" w:rsidRDefault="00581051" w:rsidP="00063E5B">
                  <w:pPr>
                    <w:rPr>
                      <w:rFonts w:cs="Arial"/>
                    </w:rPr>
                  </w:pPr>
                  <w:r w:rsidRPr="00581051">
                    <w:rPr>
                      <w:rFonts w:cs="Arial"/>
                    </w:rPr>
                    <w:t>Higher scores indicate greater sexual activity and satisfaction</w:t>
                  </w:r>
                  <w:r>
                    <w:rPr>
                      <w:rFonts w:cs="Arial"/>
                    </w:rPr>
                    <w:t>. Total score is the sum of all item scores.</w:t>
                  </w:r>
                  <w:r w:rsidR="00063E5B">
                    <w:rPr>
                      <w:rFonts w:cs="Arial"/>
                    </w:rPr>
                    <w:t xml:space="preserve"> SIAS total ranges 6-28, while SAS total ranges 3-16.</w:t>
                  </w:r>
                </w:p>
              </w:tc>
            </w:tr>
          </w:tbl>
          <w:p w14:paraId="1032E616" w14:textId="77777777" w:rsidR="002A51FF" w:rsidRPr="007B1C44" w:rsidRDefault="002A51FF" w:rsidP="002E01BE">
            <w:pPr>
              <w:rPr>
                <w:rFonts w:cs="Arial"/>
                <w:color w:val="FFFFFF" w:themeColor="background1"/>
                <w:sz w:val="32"/>
                <w:szCs w:val="30"/>
              </w:rPr>
            </w:pPr>
          </w:p>
        </w:tc>
        <w:tc>
          <w:tcPr>
            <w:tcW w:w="7175" w:type="dxa"/>
            <w:gridSpan w:val="5"/>
            <w:vMerge/>
            <w:tcBorders>
              <w:top w:val="nil"/>
              <w:left w:val="single" w:sz="4" w:space="0" w:color="FFFFFF" w:themeColor="background1"/>
              <w:bottom w:val="nil"/>
              <w:right w:val="single" w:sz="12" w:space="0" w:color="FFFFFF"/>
            </w:tcBorders>
            <w:shd w:val="clear" w:color="auto" w:fill="525252" w:themeFill="accent3" w:themeFillShade="80"/>
            <w:tcMar>
              <w:top w:w="85" w:type="dxa"/>
              <w:left w:w="142" w:type="dxa"/>
              <w:bottom w:w="85" w:type="dxa"/>
              <w:right w:w="142" w:type="dxa"/>
            </w:tcMar>
          </w:tcPr>
          <w:p w14:paraId="0BB18F0C" w14:textId="77777777" w:rsidR="002A51FF" w:rsidRPr="007B1C44" w:rsidRDefault="002A51FF" w:rsidP="002E01BE">
            <w:pPr>
              <w:rPr>
                <w:rFonts w:cs="Arial"/>
                <w:color w:val="FFFFFF" w:themeColor="background1"/>
                <w:sz w:val="32"/>
                <w:szCs w:val="30"/>
              </w:rPr>
            </w:pPr>
          </w:p>
        </w:tc>
      </w:tr>
      <w:tr w:rsidR="00941054" w:rsidRPr="007B1C44" w14:paraId="1069995C" w14:textId="77777777" w:rsidTr="002A0AFB">
        <w:trPr>
          <w:trHeight w:val="1985"/>
        </w:trPr>
        <w:tc>
          <w:tcPr>
            <w:tcW w:w="3570" w:type="dxa"/>
            <w:vMerge/>
            <w:tcBorders>
              <w:left w:val="nil"/>
              <w:bottom w:val="single" w:sz="12" w:space="0" w:color="FFFFFF" w:themeColor="background1"/>
              <w:right w:val="single" w:sz="4" w:space="0" w:color="FFFFFF" w:themeColor="background1"/>
            </w:tcBorders>
            <w:shd w:val="clear" w:color="auto" w:fill="DBDBDB" w:themeFill="accent3" w:themeFillTint="66"/>
            <w:tcMar>
              <w:top w:w="85" w:type="dxa"/>
              <w:left w:w="142" w:type="dxa"/>
              <w:bottom w:w="85" w:type="dxa"/>
              <w:right w:w="142" w:type="dxa"/>
            </w:tcMar>
          </w:tcPr>
          <w:p w14:paraId="24938A23" w14:textId="77777777" w:rsidR="002A51FF" w:rsidRPr="007B1C44" w:rsidRDefault="002A51FF" w:rsidP="002E01BE">
            <w:pPr>
              <w:rPr>
                <w:rFonts w:cs="Arial"/>
                <w:color w:val="FFFFFF" w:themeColor="background1"/>
                <w:sz w:val="21"/>
              </w:rPr>
            </w:pPr>
          </w:p>
        </w:tc>
        <w:tc>
          <w:tcPr>
            <w:tcW w:w="7175" w:type="dxa"/>
            <w:gridSpan w:val="5"/>
            <w:tcBorders>
              <w:top w:val="nil"/>
              <w:left w:val="single" w:sz="4" w:space="0" w:color="FFFFFF" w:themeColor="background1"/>
              <w:bottom w:val="single" w:sz="12" w:space="0" w:color="FFFFFF" w:themeColor="background1"/>
              <w:right w:val="single" w:sz="12" w:space="0" w:color="FFFFFF"/>
            </w:tcBorders>
            <w:shd w:val="clear" w:color="auto" w:fill="525252" w:themeFill="accent3" w:themeFillShade="80"/>
            <w:tcMar>
              <w:top w:w="85" w:type="dxa"/>
              <w:left w:w="142" w:type="dxa"/>
              <w:bottom w:w="85" w:type="dxa"/>
              <w:right w:w="142" w:type="dxa"/>
            </w:tcMar>
          </w:tcPr>
          <w:p w14:paraId="4B271C35" w14:textId="77777777" w:rsidR="002A51FF" w:rsidRPr="002A0AFB" w:rsidRDefault="002A51FF" w:rsidP="0067025E">
            <w:pPr>
              <w:spacing w:after="40"/>
              <w:rPr>
                <w:rFonts w:cs="Arial"/>
                <w:color w:val="FFFFFF" w:themeColor="background1"/>
                <w:sz w:val="26"/>
                <w:szCs w:val="26"/>
              </w:rPr>
            </w:pPr>
            <w:r w:rsidRPr="002A0AFB">
              <w:rPr>
                <w:rFonts w:cs="Arial"/>
                <w:color w:val="FFFFFF" w:themeColor="background1"/>
                <w:sz w:val="26"/>
                <w:szCs w:val="26"/>
              </w:rPr>
              <w:t xml:space="preserve">Availability </w:t>
            </w:r>
          </w:p>
          <w:tbl>
            <w:tblPr>
              <w:tblStyle w:val="Tablaconcuadrcula"/>
              <w:tblW w:w="0" w:type="auto"/>
              <w:tblInd w:w="17"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none" w:sz="0" w:space="0" w:color="auto"/>
                <w:insideV w:val="none" w:sz="0" w:space="0" w:color="auto"/>
              </w:tblBorders>
              <w:tblLayout w:type="fixed"/>
              <w:tblCellMar>
                <w:top w:w="113" w:type="dxa"/>
                <w:bottom w:w="113" w:type="dxa"/>
              </w:tblCellMar>
              <w:tblLook w:val="04A0" w:firstRow="1" w:lastRow="0" w:firstColumn="1" w:lastColumn="0" w:noHBand="0" w:noVBand="1"/>
            </w:tblPr>
            <w:tblGrid>
              <w:gridCol w:w="6726"/>
            </w:tblGrid>
            <w:tr w:rsidR="002A51FF" w:rsidRPr="007B1C44" w14:paraId="26FF6E41" w14:textId="77777777" w:rsidTr="00941054">
              <w:trPr>
                <w:trHeight w:val="460"/>
              </w:trPr>
              <w:tc>
                <w:tcPr>
                  <w:tcW w:w="6726" w:type="dxa"/>
                  <w:shd w:val="clear" w:color="auto" w:fill="FFFFFF" w:themeFill="background1"/>
                </w:tcPr>
                <w:p w14:paraId="6E4E4A68" w14:textId="77777777" w:rsidR="007E07E8" w:rsidRDefault="007E07E8" w:rsidP="00063E5B">
                  <w:r w:rsidRPr="007E07E8">
                    <w:rPr>
                      <w:b/>
                      <w:bCs/>
                    </w:rPr>
                    <w:t>Worksheet:</w:t>
                  </w:r>
                </w:p>
                <w:p w14:paraId="6307BC70" w14:textId="77777777" w:rsidR="007E07E8" w:rsidRPr="007E07E8" w:rsidRDefault="007E07E8" w:rsidP="007E07E8">
                  <w:pPr>
                    <w:pStyle w:val="Prrafodelista"/>
                    <w:numPr>
                      <w:ilvl w:val="0"/>
                      <w:numId w:val="3"/>
                    </w:numPr>
                    <w:rPr>
                      <w:lang w:val="en-US"/>
                    </w:rPr>
                  </w:pPr>
                  <w:r w:rsidRPr="00F24F4C">
                    <w:rPr>
                      <w:b/>
                      <w:bCs/>
                    </w:rPr>
                    <w:t>SAS:</w:t>
                  </w:r>
                  <w:r>
                    <w:t xml:space="preserve"> Can be found </w:t>
                  </w:r>
                  <w:hyperlink r:id="rId5" w:history="1">
                    <w:r w:rsidRPr="007E07E8">
                      <w:rPr>
                        <w:rStyle w:val="Hipervnculo"/>
                      </w:rPr>
                      <w:t>here</w:t>
                    </w:r>
                  </w:hyperlink>
                  <w:r>
                    <w:t xml:space="preserve">. </w:t>
                  </w:r>
                </w:p>
                <w:p w14:paraId="53CC22F8" w14:textId="1F7DE24C" w:rsidR="00063E5B" w:rsidRPr="00E22F88" w:rsidRDefault="007E07E8" w:rsidP="006E394D">
                  <w:pPr>
                    <w:pStyle w:val="Prrafodelista"/>
                    <w:numPr>
                      <w:ilvl w:val="0"/>
                      <w:numId w:val="3"/>
                    </w:numPr>
                  </w:pPr>
                  <w:r w:rsidRPr="00F24F4C">
                    <w:rPr>
                      <w:b/>
                      <w:bCs/>
                    </w:rPr>
                    <w:t>SIAS:</w:t>
                  </w:r>
                  <w:r>
                    <w:t xml:space="preserve"> Can be found in the appendix of the following articles:</w:t>
                  </w:r>
                  <w:r w:rsidR="00E60E08">
                    <w:t xml:space="preserve"> </w:t>
                  </w:r>
                  <w:hyperlink r:id="rId6" w:history="1">
                    <w:r w:rsidR="00063E5B" w:rsidRPr="00D51AB1">
                      <w:rPr>
                        <w:rStyle w:val="Hipervnculo"/>
                      </w:rPr>
                      <w:t>http://www.ncbi.nlm.nih.gov/pubmed/7885719</w:t>
                    </w:r>
                  </w:hyperlink>
                  <w:r w:rsidR="00E60E08">
                    <w:rPr>
                      <w:rStyle w:val="Hipervnculo"/>
                    </w:rPr>
                    <w:t xml:space="preserve"> </w:t>
                  </w:r>
                  <w:r w:rsidRPr="007E07E8">
                    <w:rPr>
                      <w:rStyle w:val="Hipervnculo"/>
                      <w:color w:val="auto"/>
                      <w:u w:val="none"/>
                    </w:rPr>
                    <w:t>and</w:t>
                  </w:r>
                  <w:r w:rsidR="00E60E08" w:rsidRPr="007E07E8">
                    <w:rPr>
                      <w:rStyle w:val="Hipervnculo"/>
                      <w:color w:val="auto"/>
                      <w:u w:val="none"/>
                    </w:rPr>
                    <w:t xml:space="preserve"> </w:t>
                  </w:r>
                  <w:hyperlink r:id="rId7" w:history="1">
                    <w:r w:rsidR="00063E5B" w:rsidRPr="00D51AB1">
                      <w:rPr>
                        <w:rStyle w:val="Hipervnculo"/>
                      </w:rPr>
                      <w:t>http://www.ncbi.nlm.nih.gov/pubmed/8022632</w:t>
                    </w:r>
                  </w:hyperlink>
                </w:p>
                <w:p w14:paraId="4DA30DE6" w14:textId="77777777" w:rsidR="007E07E8" w:rsidRDefault="007E07E8" w:rsidP="00063E5B">
                  <w:pPr>
                    <w:rPr>
                      <w:b/>
                    </w:rPr>
                  </w:pPr>
                </w:p>
                <w:p w14:paraId="4E68D6A6" w14:textId="3B5F2F36" w:rsidR="002A0AFB" w:rsidRPr="002A0AFB" w:rsidRDefault="00F11E09" w:rsidP="00063E5B">
                  <w:r w:rsidRPr="00F11E09">
                    <w:rPr>
                      <w:b/>
                    </w:rPr>
                    <w:t>Languages:</w:t>
                  </w:r>
                  <w:r>
                    <w:t xml:space="preserve"> </w:t>
                  </w:r>
                  <w:r w:rsidR="00063E5B">
                    <w:t>English</w:t>
                  </w:r>
                </w:p>
              </w:tc>
            </w:tr>
          </w:tbl>
          <w:p w14:paraId="30358630" w14:textId="77777777" w:rsidR="002A51FF" w:rsidRPr="007B1C44" w:rsidRDefault="002A51FF" w:rsidP="002E01BE">
            <w:pPr>
              <w:rPr>
                <w:rFonts w:cs="Arial"/>
                <w:color w:val="FFFFFF" w:themeColor="background1"/>
                <w:sz w:val="21"/>
              </w:rPr>
            </w:pPr>
          </w:p>
        </w:tc>
      </w:tr>
      <w:tr w:rsidR="00941054" w:rsidRPr="007B1C44" w14:paraId="67C0C7A2" w14:textId="77777777" w:rsidTr="00B82F5B">
        <w:trPr>
          <w:trHeight w:val="472"/>
        </w:trPr>
        <w:tc>
          <w:tcPr>
            <w:tcW w:w="10745" w:type="dxa"/>
            <w:gridSpan w:val="6"/>
            <w:tcBorders>
              <w:top w:val="single" w:sz="12" w:space="0" w:color="FFFFFF"/>
              <w:left w:val="single" w:sz="12" w:space="0" w:color="FFFFFF"/>
              <w:bottom w:val="single" w:sz="8" w:space="0" w:color="FFFFFF" w:themeColor="background1"/>
              <w:right w:val="nil"/>
            </w:tcBorders>
            <w:shd w:val="clear" w:color="auto" w:fill="8496B0" w:themeFill="text2" w:themeFillTint="99"/>
            <w:tcMar>
              <w:top w:w="85" w:type="dxa"/>
              <w:left w:w="142" w:type="dxa"/>
              <w:bottom w:w="85" w:type="dxa"/>
              <w:right w:w="142" w:type="dxa"/>
            </w:tcMar>
            <w:vAlign w:val="center"/>
          </w:tcPr>
          <w:p w14:paraId="1AD13A93" w14:textId="77777777" w:rsidR="000E1D3D" w:rsidRPr="007B1C44" w:rsidRDefault="000E1D3D" w:rsidP="00341BDA">
            <w:pPr>
              <w:rPr>
                <w:rFonts w:cs="Arial"/>
                <w:b/>
                <w:szCs w:val="24"/>
              </w:rPr>
            </w:pPr>
            <w:r w:rsidRPr="00435799">
              <w:rPr>
                <w:rFonts w:cs="Arial"/>
                <w:b/>
                <w:color w:val="FFFFFF" w:themeColor="background1"/>
                <w:sz w:val="28"/>
                <w:szCs w:val="28"/>
              </w:rPr>
              <w:t>Assessment Interpretability</w:t>
            </w:r>
          </w:p>
        </w:tc>
      </w:tr>
      <w:tr w:rsidR="00941054" w:rsidRPr="007B1C44" w14:paraId="35539EBF" w14:textId="77777777" w:rsidTr="00435799">
        <w:trPr>
          <w:trHeight w:val="4876"/>
        </w:trPr>
        <w:tc>
          <w:tcPr>
            <w:tcW w:w="3570" w:type="dxa"/>
            <w:tcBorders>
              <w:top w:val="single" w:sz="12" w:space="0" w:color="FFFFFF"/>
              <w:left w:val="single" w:sz="8" w:space="0" w:color="FFFFFF" w:themeColor="background1"/>
              <w:bottom w:val="single" w:sz="12" w:space="0" w:color="FFFFFF"/>
              <w:right w:val="single" w:sz="8" w:space="0" w:color="FFFFFF" w:themeColor="background1"/>
            </w:tcBorders>
            <w:shd w:val="clear" w:color="auto" w:fill="595959" w:themeFill="text1" w:themeFillTint="A6"/>
            <w:tcMar>
              <w:top w:w="142" w:type="dxa"/>
              <w:left w:w="142" w:type="dxa"/>
              <w:bottom w:w="85" w:type="dxa"/>
              <w:right w:w="142" w:type="dxa"/>
            </w:tcMar>
          </w:tcPr>
          <w:p w14:paraId="0817E2FD" w14:textId="635D571A" w:rsidR="00341BDA" w:rsidRPr="002A0AFB" w:rsidRDefault="000E1D3D" w:rsidP="00435799">
            <w:pPr>
              <w:spacing w:after="40"/>
              <w:rPr>
                <w:rFonts w:cs="Arial"/>
                <w:color w:val="FFFFFF" w:themeColor="background1"/>
                <w:sz w:val="26"/>
                <w:szCs w:val="26"/>
              </w:rPr>
            </w:pPr>
            <w:r w:rsidRPr="002A0AFB">
              <w:rPr>
                <w:rFonts w:cs="Arial"/>
                <w:color w:val="FFFFFF" w:themeColor="background1"/>
                <w:sz w:val="26"/>
                <w:szCs w:val="26"/>
              </w:rPr>
              <w:t>Minimal Clinically Important Difference</w:t>
            </w:r>
          </w:p>
          <w:tbl>
            <w:tblPr>
              <w:tblStyle w:val="Tablaconcuadrcula"/>
              <w:tblW w:w="0" w:type="auto"/>
              <w:tblInd w:w="17" w:type="dxa"/>
              <w:tblLayout w:type="fixed"/>
              <w:tblCellMar>
                <w:top w:w="113" w:type="dxa"/>
                <w:bottom w:w="113" w:type="dxa"/>
              </w:tblCellMar>
              <w:tblLook w:val="04A0" w:firstRow="1" w:lastRow="0" w:firstColumn="1" w:lastColumn="0" w:noHBand="0" w:noVBand="1"/>
            </w:tblPr>
            <w:tblGrid>
              <w:gridCol w:w="3228"/>
            </w:tblGrid>
            <w:tr w:rsidR="00B8074E" w:rsidRPr="007B1C44" w14:paraId="7F9615CC" w14:textId="77777777" w:rsidTr="007E07E8">
              <w:trPr>
                <w:trHeight w:val="1097"/>
              </w:trPr>
              <w:tc>
                <w:tcPr>
                  <w:tcW w:w="3228" w:type="dxa"/>
                  <w:tcBorders>
                    <w:top w:val="nil"/>
                    <w:left w:val="nil"/>
                    <w:bottom w:val="nil"/>
                    <w:right w:val="nil"/>
                  </w:tcBorders>
                  <w:shd w:val="clear" w:color="auto" w:fill="FFFFFF" w:themeFill="background1"/>
                </w:tcPr>
                <w:p w14:paraId="3D159230" w14:textId="6D2878B5" w:rsidR="00341BDA" w:rsidRPr="002A0AFB" w:rsidRDefault="002A0AFB" w:rsidP="00A663F5">
                  <w:pPr>
                    <w:rPr>
                      <w:shd w:val="clear" w:color="auto" w:fill="FFFFFF"/>
                      <w:vertAlign w:val="subscript"/>
                    </w:rPr>
                  </w:pPr>
                  <w:r w:rsidRPr="002A0AFB">
                    <w:rPr>
                      <w:shd w:val="clear" w:color="auto" w:fill="FFFFFF"/>
                    </w:rPr>
                    <w:t>Not established in SCI</w:t>
                  </w:r>
                </w:p>
              </w:tc>
            </w:tr>
          </w:tbl>
          <w:p w14:paraId="3BCF358F" w14:textId="77777777" w:rsidR="004E4343" w:rsidRPr="007B1C44" w:rsidRDefault="004E4343" w:rsidP="002E01BE">
            <w:pPr>
              <w:rPr>
                <w:rFonts w:cs="Arial"/>
                <w:color w:val="FFFFFF" w:themeColor="background1"/>
                <w:sz w:val="21"/>
              </w:rPr>
            </w:pPr>
          </w:p>
        </w:tc>
        <w:tc>
          <w:tcPr>
            <w:tcW w:w="3518" w:type="dxa"/>
            <w:gridSpan w:val="3"/>
            <w:tcBorders>
              <w:top w:val="single" w:sz="12" w:space="0" w:color="FFFFFF"/>
              <w:left w:val="single" w:sz="8" w:space="0" w:color="FFFFFF" w:themeColor="background1"/>
              <w:bottom w:val="single" w:sz="12" w:space="0" w:color="FFFFFF"/>
              <w:right w:val="single" w:sz="8" w:space="0" w:color="FFFFFF" w:themeColor="background1"/>
            </w:tcBorders>
            <w:shd w:val="clear" w:color="auto" w:fill="595959" w:themeFill="text1" w:themeFillTint="A6"/>
            <w:tcMar>
              <w:top w:w="85" w:type="dxa"/>
              <w:left w:w="142" w:type="dxa"/>
              <w:bottom w:w="85" w:type="dxa"/>
              <w:right w:w="142" w:type="dxa"/>
            </w:tcMar>
          </w:tcPr>
          <w:p w14:paraId="174691EF" w14:textId="389618AA" w:rsidR="000E1D3D" w:rsidRPr="002A0AFB" w:rsidRDefault="00C65F06" w:rsidP="00435799">
            <w:pPr>
              <w:spacing w:after="40"/>
              <w:rPr>
                <w:rFonts w:cs="Arial"/>
                <w:color w:val="FFFFFF" w:themeColor="background1"/>
                <w:sz w:val="26"/>
                <w:szCs w:val="26"/>
              </w:rPr>
            </w:pPr>
            <w:r>
              <w:rPr>
                <w:rFonts w:cs="Arial"/>
                <w:color w:val="FFFFFF" w:themeColor="background1"/>
                <w:sz w:val="26"/>
                <w:szCs w:val="26"/>
              </w:rPr>
              <w:t>Statistical Error</w:t>
            </w:r>
          </w:p>
          <w:p w14:paraId="29B2A0D6" w14:textId="77777777" w:rsidR="00341BDA" w:rsidRPr="00381D82" w:rsidRDefault="00341BDA" w:rsidP="002E01BE">
            <w:pPr>
              <w:rPr>
                <w:rFonts w:cs="Arial"/>
                <w:color w:val="FFFFFF" w:themeColor="background1"/>
              </w:rPr>
            </w:pPr>
          </w:p>
          <w:tbl>
            <w:tblPr>
              <w:tblStyle w:val="Tablaconcuadrcula"/>
              <w:tblW w:w="0" w:type="auto"/>
              <w:tblInd w:w="17" w:type="dxa"/>
              <w:tblLayout w:type="fixed"/>
              <w:tblCellMar>
                <w:top w:w="113" w:type="dxa"/>
                <w:bottom w:w="113" w:type="dxa"/>
              </w:tblCellMar>
              <w:tblLook w:val="04A0" w:firstRow="1" w:lastRow="0" w:firstColumn="1" w:lastColumn="0" w:noHBand="0" w:noVBand="1"/>
            </w:tblPr>
            <w:tblGrid>
              <w:gridCol w:w="3217"/>
            </w:tblGrid>
            <w:tr w:rsidR="000E1D3D" w:rsidRPr="007B1C44" w14:paraId="3D778C23" w14:textId="77777777" w:rsidTr="00A663F5">
              <w:trPr>
                <w:trHeight w:val="1134"/>
              </w:trPr>
              <w:tc>
                <w:tcPr>
                  <w:tcW w:w="3217" w:type="dxa"/>
                  <w:tcBorders>
                    <w:top w:val="nil"/>
                    <w:left w:val="nil"/>
                    <w:bottom w:val="nil"/>
                    <w:right w:val="nil"/>
                  </w:tcBorders>
                  <w:shd w:val="clear" w:color="auto" w:fill="FFFFFF" w:themeFill="background1"/>
                  <w:tcMar>
                    <w:right w:w="142" w:type="dxa"/>
                  </w:tcMar>
                </w:tcPr>
                <w:p w14:paraId="09592F48" w14:textId="08AA2FE8" w:rsidR="00341BDA" w:rsidRPr="00F11E09" w:rsidRDefault="00EC2057" w:rsidP="00EC2057">
                  <w:r w:rsidRPr="002A0AFB">
                    <w:rPr>
                      <w:shd w:val="clear" w:color="auto" w:fill="FFFFFF"/>
                    </w:rPr>
                    <w:t>Not established in SCI</w:t>
                  </w:r>
                </w:p>
              </w:tc>
            </w:tr>
          </w:tbl>
          <w:p w14:paraId="2E47F049" w14:textId="77777777" w:rsidR="00341BDA" w:rsidRPr="007B1C44" w:rsidRDefault="00341BDA" w:rsidP="00341BDA">
            <w:pPr>
              <w:rPr>
                <w:rFonts w:cs="Arial"/>
                <w:color w:val="FFFFFF" w:themeColor="background1"/>
                <w:sz w:val="21"/>
              </w:rPr>
            </w:pPr>
          </w:p>
        </w:tc>
        <w:tc>
          <w:tcPr>
            <w:tcW w:w="3657" w:type="dxa"/>
            <w:gridSpan w:val="2"/>
            <w:tcBorders>
              <w:top w:val="single" w:sz="12" w:space="0" w:color="FFFFFF"/>
              <w:left w:val="single" w:sz="8" w:space="0" w:color="FFFFFF" w:themeColor="background1"/>
              <w:bottom w:val="single" w:sz="12" w:space="0" w:color="FFFFFF"/>
              <w:right w:val="single" w:sz="8" w:space="0" w:color="FFFFFF" w:themeColor="background1"/>
            </w:tcBorders>
            <w:shd w:val="clear" w:color="auto" w:fill="595959" w:themeFill="text1" w:themeFillTint="A6"/>
            <w:tcMar>
              <w:top w:w="85" w:type="dxa"/>
              <w:left w:w="142" w:type="dxa"/>
              <w:bottom w:w="85" w:type="dxa"/>
              <w:right w:w="142" w:type="dxa"/>
            </w:tcMar>
          </w:tcPr>
          <w:p w14:paraId="1A6442C5" w14:textId="713CF8B6" w:rsidR="00341BDA" w:rsidRPr="002A0AFB" w:rsidRDefault="00E0510D" w:rsidP="00435799">
            <w:pPr>
              <w:spacing w:after="40"/>
              <w:rPr>
                <w:rFonts w:cs="Arial"/>
                <w:color w:val="FFFFFF" w:themeColor="background1"/>
                <w:sz w:val="26"/>
                <w:szCs w:val="26"/>
              </w:rPr>
            </w:pPr>
            <w:r>
              <w:rPr>
                <w:rFonts w:cs="Arial"/>
                <w:color w:val="FFFFFF" w:themeColor="background1"/>
                <w:sz w:val="26"/>
                <w:szCs w:val="26"/>
              </w:rPr>
              <w:t xml:space="preserve">Typical </w:t>
            </w:r>
            <w:r w:rsidR="000E1D3D" w:rsidRPr="002A0AFB">
              <w:rPr>
                <w:rFonts w:cs="Arial"/>
                <w:color w:val="FFFFFF" w:themeColor="background1"/>
                <w:sz w:val="26"/>
                <w:szCs w:val="26"/>
              </w:rPr>
              <w:t>Values</w:t>
            </w:r>
          </w:p>
          <w:p w14:paraId="44D0F879" w14:textId="77777777" w:rsidR="00341BDA" w:rsidRPr="00381D82" w:rsidRDefault="00341BDA" w:rsidP="002E01BE">
            <w:pPr>
              <w:rPr>
                <w:rFonts w:cs="Arial"/>
                <w:color w:val="FFFFFF" w:themeColor="background1"/>
              </w:rPr>
            </w:pPr>
          </w:p>
          <w:tbl>
            <w:tblPr>
              <w:tblStyle w:val="Tablaconcuadrcula"/>
              <w:tblW w:w="3243" w:type="dxa"/>
              <w:tblInd w:w="17" w:type="dxa"/>
              <w:tblLayout w:type="fixed"/>
              <w:tblCellMar>
                <w:top w:w="113" w:type="dxa"/>
                <w:bottom w:w="113" w:type="dxa"/>
              </w:tblCellMar>
              <w:tblLook w:val="04A0" w:firstRow="1" w:lastRow="0" w:firstColumn="1" w:lastColumn="0" w:noHBand="0" w:noVBand="1"/>
            </w:tblPr>
            <w:tblGrid>
              <w:gridCol w:w="3243"/>
            </w:tblGrid>
            <w:tr w:rsidR="000E1D3D" w:rsidRPr="007B1C44" w14:paraId="71B016D0" w14:textId="77777777" w:rsidTr="00A663F5">
              <w:trPr>
                <w:trHeight w:val="1134"/>
              </w:trPr>
              <w:tc>
                <w:tcPr>
                  <w:tcW w:w="3243" w:type="dxa"/>
                  <w:tcBorders>
                    <w:top w:val="nil"/>
                    <w:left w:val="nil"/>
                    <w:bottom w:val="nil"/>
                    <w:right w:val="nil"/>
                  </w:tcBorders>
                  <w:shd w:val="clear" w:color="auto" w:fill="FFFFFF" w:themeFill="background1"/>
                </w:tcPr>
                <w:p w14:paraId="00BB99D5" w14:textId="72A16589" w:rsidR="00C921C1" w:rsidRPr="00C921C1" w:rsidRDefault="00C921C1" w:rsidP="007E07E8">
                  <w:pPr>
                    <w:spacing w:before="40" w:after="40"/>
                    <w:rPr>
                      <w:rFonts w:cs="Arial"/>
                      <w:b/>
                      <w:color w:val="000000"/>
                      <w:shd w:val="clear" w:color="auto" w:fill="FFFFFF"/>
                      <w:lang w:val="en-US"/>
                    </w:rPr>
                  </w:pPr>
                  <w:r>
                    <w:rPr>
                      <w:rFonts w:cs="Arial"/>
                      <w:b/>
                      <w:color w:val="000000"/>
                      <w:shd w:val="clear" w:color="auto" w:fill="FFFFFF"/>
                      <w:lang w:val="en-US"/>
                    </w:rPr>
                    <w:t>M</w:t>
                  </w:r>
                  <w:r w:rsidRPr="00C921C1">
                    <w:rPr>
                      <w:rFonts w:cs="Arial"/>
                      <w:b/>
                      <w:color w:val="000000"/>
                      <w:shd w:val="clear" w:color="auto" w:fill="FFFFFF"/>
                      <w:lang w:val="en-US"/>
                    </w:rPr>
                    <w:t xml:space="preserve">ean (SD) </w:t>
                  </w:r>
                  <w:r>
                    <w:rPr>
                      <w:rFonts w:cs="Arial"/>
                      <w:b/>
                      <w:color w:val="000000"/>
                      <w:shd w:val="clear" w:color="auto" w:fill="FFFFFF"/>
                      <w:lang w:val="en-US"/>
                    </w:rPr>
                    <w:t>S</w:t>
                  </w:r>
                  <w:r w:rsidRPr="00C921C1">
                    <w:rPr>
                      <w:rFonts w:cs="Arial"/>
                      <w:b/>
                      <w:color w:val="000000"/>
                      <w:shd w:val="clear" w:color="auto" w:fill="FFFFFF"/>
                      <w:lang w:val="en-US"/>
                    </w:rPr>
                    <w:t>cores:</w:t>
                  </w:r>
                </w:p>
                <w:p w14:paraId="205E6383" w14:textId="57CF4117" w:rsidR="00C921C1" w:rsidRPr="007E07E8" w:rsidRDefault="00EC2057" w:rsidP="007E07E8">
                  <w:pPr>
                    <w:spacing w:before="40" w:after="40"/>
                    <w:rPr>
                      <w:rFonts w:cs="Arial"/>
                      <w:color w:val="000000"/>
                      <w:sz w:val="21"/>
                      <w:szCs w:val="21"/>
                      <w:shd w:val="clear" w:color="auto" w:fill="FFFFFF"/>
                      <w:lang w:val="en-US"/>
                    </w:rPr>
                  </w:pPr>
                  <w:r w:rsidRPr="007E07E8">
                    <w:rPr>
                      <w:rFonts w:cs="Arial"/>
                      <w:color w:val="000000"/>
                      <w:sz w:val="21"/>
                      <w:szCs w:val="21"/>
                      <w:shd w:val="clear" w:color="auto" w:fill="FFFFFF"/>
                      <w:lang w:val="en-US"/>
                    </w:rPr>
                    <w:t>SAS: 65.3 (31.1)</w:t>
                  </w:r>
                </w:p>
                <w:p w14:paraId="4CED8BED" w14:textId="7356A324" w:rsidR="00482F31" w:rsidRPr="00482F31" w:rsidRDefault="00482F31" w:rsidP="007E07E8">
                  <w:pPr>
                    <w:pStyle w:val="Subttulo"/>
                    <w:spacing w:before="40" w:after="40"/>
                  </w:pPr>
                  <w:r w:rsidRPr="00C65F06">
                    <w:t>(</w:t>
                  </w:r>
                  <w:proofErr w:type="spellStart"/>
                  <w:r>
                    <w:t>Kreuter</w:t>
                  </w:r>
                  <w:proofErr w:type="spellEnd"/>
                  <w:r>
                    <w:t xml:space="preserve"> et al. 1996; </w:t>
                  </w:r>
                  <w:r w:rsidR="007E07E8">
                    <w:t>n</w:t>
                  </w:r>
                  <w:r>
                    <w:t>=75 (SCI group), 65 male</w:t>
                  </w:r>
                  <w:r w:rsidR="007E07E8">
                    <w:t>s</w:t>
                  </w:r>
                  <w:r>
                    <w:t xml:space="preserve">; </w:t>
                  </w:r>
                  <w:r w:rsidR="007E07E8">
                    <w:t xml:space="preserve">tetraplegia and paraplegia; Frankel A-D; </w:t>
                  </w:r>
                  <w:r>
                    <w:t>median (range) 5 (1-9) years post-SCI</w:t>
                  </w:r>
                  <w:r w:rsidRPr="00C65F06">
                    <w:t>)</w:t>
                  </w:r>
                </w:p>
                <w:p w14:paraId="77DB3651" w14:textId="77777777" w:rsidR="00482F31" w:rsidRPr="007E07E8" w:rsidRDefault="00EC2057" w:rsidP="007E07E8">
                  <w:pPr>
                    <w:spacing w:before="40" w:after="40"/>
                    <w:rPr>
                      <w:rFonts w:cs="Arial"/>
                      <w:color w:val="000000"/>
                      <w:sz w:val="21"/>
                      <w:szCs w:val="21"/>
                      <w:shd w:val="clear" w:color="auto" w:fill="FFFFFF"/>
                      <w:lang w:val="en-US"/>
                    </w:rPr>
                  </w:pPr>
                  <w:r w:rsidRPr="007E07E8">
                    <w:rPr>
                      <w:rFonts w:cs="Arial"/>
                      <w:color w:val="000000"/>
                      <w:sz w:val="21"/>
                      <w:szCs w:val="21"/>
                      <w:shd w:val="clear" w:color="auto" w:fill="FFFFFF"/>
                      <w:lang w:val="en-US"/>
                    </w:rPr>
                    <w:t xml:space="preserve">SIAS: </w:t>
                  </w:r>
                </w:p>
                <w:p w14:paraId="7D2BCADF" w14:textId="04AC04F5" w:rsidR="00482F31" w:rsidRDefault="00482F31" w:rsidP="007E07E8">
                  <w:pPr>
                    <w:spacing w:before="40" w:after="40"/>
                    <w:rPr>
                      <w:rFonts w:cs="Arial"/>
                      <w:color w:val="000000"/>
                      <w:shd w:val="clear" w:color="auto" w:fill="FFFFFF"/>
                      <w:lang w:val="en-US"/>
                    </w:rPr>
                  </w:pPr>
                  <w:r w:rsidRPr="007E07E8">
                    <w:rPr>
                      <w:rFonts w:cs="Arial"/>
                      <w:color w:val="000000"/>
                      <w:sz w:val="21"/>
                      <w:szCs w:val="21"/>
                      <w:shd w:val="clear" w:color="auto" w:fill="FFFFFF"/>
                      <w:lang w:val="en-US"/>
                    </w:rPr>
                    <w:t xml:space="preserve">    13.8 (6.7)</w:t>
                  </w:r>
                  <w:r w:rsidRPr="007E07E8">
                    <w:rPr>
                      <w:rStyle w:val="SubttuloCar"/>
                      <w:sz w:val="15"/>
                      <w:szCs w:val="21"/>
                    </w:rPr>
                    <w:t xml:space="preserve"> </w:t>
                  </w:r>
                  <w:r w:rsidRPr="00482F31">
                    <w:rPr>
                      <w:rStyle w:val="SubttuloCar"/>
                    </w:rPr>
                    <w:t>(relationships established before SCI</w:t>
                  </w:r>
                  <w:r>
                    <w:rPr>
                      <w:rStyle w:val="SubttuloCar"/>
                    </w:rPr>
                    <w:t xml:space="preserve">, </w:t>
                  </w:r>
                  <w:r w:rsidRPr="00482F31">
                    <w:rPr>
                      <w:rStyle w:val="SubttuloCar"/>
                    </w:rPr>
                    <w:t>N=26)</w:t>
                  </w:r>
                </w:p>
                <w:p w14:paraId="1412B876" w14:textId="2D76D79F" w:rsidR="00482F31" w:rsidRDefault="00482F31" w:rsidP="007E07E8">
                  <w:pPr>
                    <w:spacing w:before="40" w:after="40"/>
                    <w:rPr>
                      <w:rFonts w:cs="Arial"/>
                      <w:color w:val="000000"/>
                      <w:shd w:val="clear" w:color="auto" w:fill="FFFFFF"/>
                      <w:lang w:val="en-US"/>
                    </w:rPr>
                  </w:pPr>
                  <w:r>
                    <w:rPr>
                      <w:rFonts w:cs="Arial"/>
                      <w:color w:val="000000"/>
                      <w:shd w:val="clear" w:color="auto" w:fill="FFFFFF"/>
                      <w:lang w:val="en-US"/>
                    </w:rPr>
                    <w:t xml:space="preserve">    </w:t>
                  </w:r>
                  <w:r w:rsidRPr="007E07E8">
                    <w:rPr>
                      <w:rFonts w:cs="Arial"/>
                      <w:color w:val="000000"/>
                      <w:sz w:val="21"/>
                      <w:szCs w:val="21"/>
                      <w:shd w:val="clear" w:color="auto" w:fill="FFFFFF"/>
                      <w:lang w:val="en-US"/>
                    </w:rPr>
                    <w:t>22.4 (3.7)</w:t>
                  </w:r>
                  <w:r w:rsidRPr="007E07E8">
                    <w:rPr>
                      <w:rStyle w:val="SubttuloCar"/>
                      <w:sz w:val="15"/>
                      <w:szCs w:val="21"/>
                    </w:rPr>
                    <w:t xml:space="preserve"> </w:t>
                  </w:r>
                  <w:r w:rsidRPr="00482F31">
                    <w:rPr>
                      <w:rStyle w:val="SubttuloCar"/>
                    </w:rPr>
                    <w:t>(relationships established before SCI</w:t>
                  </w:r>
                  <w:r>
                    <w:rPr>
                      <w:rStyle w:val="SubttuloCar"/>
                    </w:rPr>
                    <w:t xml:space="preserve">, </w:t>
                  </w:r>
                  <w:r w:rsidRPr="00482F31">
                    <w:rPr>
                      <w:rStyle w:val="SubttuloCar"/>
                    </w:rPr>
                    <w:t>N=2</w:t>
                  </w:r>
                  <w:r>
                    <w:rPr>
                      <w:rStyle w:val="SubttuloCar"/>
                    </w:rPr>
                    <w:t>3</w:t>
                  </w:r>
                  <w:r w:rsidRPr="00482F31">
                    <w:rPr>
                      <w:rStyle w:val="SubttuloCar"/>
                    </w:rPr>
                    <w:t>)</w:t>
                  </w:r>
                </w:p>
                <w:p w14:paraId="0380EE5A" w14:textId="44CC2D9C" w:rsidR="00482F31" w:rsidRPr="00482F31" w:rsidRDefault="00482F31" w:rsidP="007E07E8">
                  <w:pPr>
                    <w:pStyle w:val="Subttulo"/>
                    <w:spacing w:before="40" w:after="40"/>
                  </w:pPr>
                  <w:r w:rsidRPr="00C65F06">
                    <w:t>(</w:t>
                  </w:r>
                  <w:proofErr w:type="spellStart"/>
                  <w:r>
                    <w:t>Kreuter</w:t>
                  </w:r>
                  <w:proofErr w:type="spellEnd"/>
                  <w:r>
                    <w:t xml:space="preserve"> et al. 1994a; </w:t>
                  </w:r>
                  <w:r w:rsidR="007E07E8">
                    <w:t>n</w:t>
                  </w:r>
                  <w:r>
                    <w:t xml:space="preserve">=49 healthy individuals with one SCI partner; mixed injury type; </w:t>
                  </w:r>
                  <w:r w:rsidRPr="00E22F88">
                    <w:t>≥</w:t>
                  </w:r>
                  <w:r w:rsidR="007E07E8">
                    <w:t>1-year</w:t>
                  </w:r>
                  <w:r>
                    <w:t xml:space="preserve"> post-SCI</w:t>
                  </w:r>
                  <w:r w:rsidRPr="00C65F06">
                    <w:t>)</w:t>
                  </w:r>
                </w:p>
                <w:p w14:paraId="04449863" w14:textId="77777777" w:rsidR="00482F31" w:rsidRDefault="00482F31" w:rsidP="007E07E8">
                  <w:pPr>
                    <w:spacing w:before="40" w:after="40"/>
                    <w:rPr>
                      <w:rFonts w:cs="Arial"/>
                      <w:b/>
                      <w:color w:val="000000"/>
                      <w:shd w:val="clear" w:color="auto" w:fill="FFFFFF"/>
                      <w:lang w:val="en-US"/>
                    </w:rPr>
                  </w:pPr>
                  <w:r>
                    <w:rPr>
                      <w:rFonts w:cs="Arial"/>
                      <w:b/>
                      <w:color w:val="000000"/>
                      <w:shd w:val="clear" w:color="auto" w:fill="FFFFFF"/>
                      <w:lang w:val="en-US"/>
                    </w:rPr>
                    <w:t>Normative Values:</w:t>
                  </w:r>
                </w:p>
                <w:p w14:paraId="5696CF73" w14:textId="34C13527" w:rsidR="00482F31" w:rsidRPr="007E07E8" w:rsidRDefault="00482F31" w:rsidP="007E07E8">
                  <w:pPr>
                    <w:spacing w:before="40" w:after="40"/>
                    <w:rPr>
                      <w:rFonts w:cs="Arial"/>
                      <w:color w:val="000000"/>
                      <w:sz w:val="21"/>
                      <w:szCs w:val="21"/>
                      <w:shd w:val="clear" w:color="auto" w:fill="FFFFFF"/>
                      <w:lang w:val="en-US"/>
                    </w:rPr>
                  </w:pPr>
                  <w:r w:rsidRPr="007E07E8">
                    <w:rPr>
                      <w:rFonts w:cs="Arial"/>
                      <w:color w:val="000000"/>
                      <w:sz w:val="21"/>
                      <w:szCs w:val="21"/>
                      <w:shd w:val="clear" w:color="auto" w:fill="FFFFFF"/>
                      <w:lang w:val="en-US"/>
                    </w:rPr>
                    <w:t>SAS: 77.9 (22.3)</w:t>
                  </w:r>
                </w:p>
                <w:p w14:paraId="3D5A5E01" w14:textId="2D622F45" w:rsidR="00341BDA" w:rsidRPr="00F11E09" w:rsidRDefault="00482F31" w:rsidP="007E07E8">
                  <w:pPr>
                    <w:pStyle w:val="Subttulo"/>
                    <w:spacing w:before="40" w:after="40"/>
                  </w:pPr>
                  <w:r w:rsidRPr="00C65F06">
                    <w:t>(</w:t>
                  </w:r>
                  <w:proofErr w:type="spellStart"/>
                  <w:r>
                    <w:t>Kreuter</w:t>
                  </w:r>
                  <w:proofErr w:type="spellEnd"/>
                  <w:r>
                    <w:t xml:space="preserve"> et al.</w:t>
                  </w:r>
                  <w:r w:rsidR="007E07E8">
                    <w:t xml:space="preserve"> </w:t>
                  </w:r>
                  <w:r>
                    <w:t xml:space="preserve">1996; </w:t>
                  </w:r>
                  <w:r w:rsidR="007E07E8">
                    <w:t>n</w:t>
                  </w:r>
                  <w:r>
                    <w:t>=155 (control group) from the general population</w:t>
                  </w:r>
                  <w:r w:rsidRPr="00C65F06">
                    <w:t>)</w:t>
                  </w:r>
                </w:p>
              </w:tc>
            </w:tr>
          </w:tbl>
          <w:p w14:paraId="0B6824AC" w14:textId="77777777" w:rsidR="004E4343" w:rsidRPr="007B1C44" w:rsidRDefault="004E4343" w:rsidP="002E01BE">
            <w:pPr>
              <w:rPr>
                <w:rFonts w:cs="Arial"/>
                <w:color w:val="FFFFFF" w:themeColor="background1"/>
                <w:sz w:val="21"/>
              </w:rPr>
            </w:pPr>
          </w:p>
        </w:tc>
      </w:tr>
      <w:tr w:rsidR="006015FA" w:rsidRPr="007B1C44" w14:paraId="11245697" w14:textId="77777777" w:rsidTr="00ED0A92">
        <w:trPr>
          <w:trHeight w:val="640"/>
        </w:trPr>
        <w:tc>
          <w:tcPr>
            <w:tcW w:w="10745" w:type="dxa"/>
            <w:gridSpan w:val="6"/>
            <w:tcBorders>
              <w:top w:val="nil"/>
              <w:left w:val="nil"/>
              <w:bottom w:val="nil"/>
              <w:right w:val="nil"/>
            </w:tcBorders>
            <w:shd w:val="clear" w:color="auto" w:fill="8496B0" w:themeFill="text2" w:themeFillTint="99"/>
            <w:tcMar>
              <w:top w:w="28" w:type="dxa"/>
              <w:left w:w="142" w:type="dxa"/>
              <w:bottom w:w="28" w:type="dxa"/>
              <w:right w:w="142" w:type="dxa"/>
            </w:tcMar>
            <w:vAlign w:val="center"/>
          </w:tcPr>
          <w:p w14:paraId="02019100" w14:textId="38E49E18" w:rsidR="006015FA" w:rsidRPr="002A0AFB" w:rsidRDefault="006015FA" w:rsidP="00A64F1F">
            <w:pPr>
              <w:rPr>
                <w:rFonts w:cs="Arial"/>
                <w:b/>
                <w:color w:val="FFFFFF" w:themeColor="background1"/>
                <w:sz w:val="28"/>
                <w:szCs w:val="24"/>
              </w:rPr>
            </w:pPr>
            <w:r>
              <w:rPr>
                <w:rFonts w:cs="Arial"/>
                <w:sz w:val="21"/>
              </w:rPr>
              <w:lastRenderedPageBreak/>
              <w:br w:type="page"/>
            </w:r>
            <w:r w:rsidRPr="002A0AFB">
              <w:rPr>
                <w:rFonts w:cs="Arial"/>
                <w:b/>
                <w:color w:val="FFFFFF" w:themeColor="background1"/>
                <w:sz w:val="28"/>
                <w:szCs w:val="28"/>
              </w:rPr>
              <w:t>Measurement Properties</w:t>
            </w:r>
          </w:p>
        </w:tc>
      </w:tr>
      <w:tr w:rsidR="00B82F5B" w:rsidRPr="007B1C44" w14:paraId="06B9EECE" w14:textId="77777777" w:rsidTr="00ED0A92">
        <w:trPr>
          <w:trHeight w:val="7028"/>
        </w:trPr>
        <w:tc>
          <w:tcPr>
            <w:tcW w:w="5387" w:type="dxa"/>
            <w:gridSpan w:val="3"/>
            <w:tcBorders>
              <w:top w:val="nil"/>
              <w:left w:val="nil"/>
              <w:bottom w:val="single" w:sz="4" w:space="0" w:color="auto"/>
              <w:right w:val="single" w:sz="4" w:space="0" w:color="auto"/>
            </w:tcBorders>
            <w:shd w:val="clear" w:color="auto" w:fill="auto"/>
            <w:tcMar>
              <w:top w:w="113" w:type="dxa"/>
              <w:left w:w="142" w:type="dxa"/>
              <w:bottom w:w="28" w:type="dxa"/>
              <w:right w:w="142" w:type="dxa"/>
            </w:tcMar>
          </w:tcPr>
          <w:p w14:paraId="3A1A8B11" w14:textId="7E51334A" w:rsidR="006015FA" w:rsidRPr="002A0AFB" w:rsidRDefault="00435799" w:rsidP="00ED0A92">
            <w:pPr>
              <w:pBdr>
                <w:bottom w:val="single" w:sz="4" w:space="1" w:color="auto"/>
              </w:pBdr>
              <w:spacing w:after="40"/>
              <w:rPr>
                <w:rFonts w:cs="Arial"/>
                <w:color w:val="222A35" w:themeColor="text2" w:themeShade="80"/>
                <w:sz w:val="26"/>
                <w:szCs w:val="26"/>
              </w:rPr>
            </w:pPr>
            <w:r w:rsidRPr="002A0AFB">
              <w:rPr>
                <w:rFonts w:cs="Arial"/>
                <w:color w:val="222A35" w:themeColor="text2" w:themeShade="80"/>
                <w:sz w:val="26"/>
                <w:szCs w:val="26"/>
              </w:rPr>
              <w:t>Validity</w:t>
            </w:r>
            <w:r w:rsidR="00201CFB">
              <w:rPr>
                <w:rFonts w:cs="Arial"/>
                <w:color w:val="222A35" w:themeColor="text2" w:themeShade="80"/>
                <w:sz w:val="26"/>
                <w:szCs w:val="26"/>
              </w:rPr>
              <w:t xml:space="preserve"> – </w:t>
            </w:r>
            <w:r w:rsidR="00EC2057" w:rsidRPr="007E07E8">
              <w:rPr>
                <w:rFonts w:cs="Arial"/>
                <w:b/>
                <w:color w:val="FF9300"/>
                <w:sz w:val="26"/>
                <w:szCs w:val="26"/>
                <w:shd w:val="clear" w:color="auto" w:fill="FFFFFF"/>
              </w:rPr>
              <w:t>Moderate</w:t>
            </w:r>
            <w:r w:rsidR="00EC2057">
              <w:rPr>
                <w:rFonts w:cs="Arial"/>
                <w:color w:val="222A35" w:themeColor="text2" w:themeShade="80"/>
                <w:sz w:val="26"/>
                <w:szCs w:val="26"/>
              </w:rPr>
              <w:t xml:space="preserve"> </w:t>
            </w:r>
            <w:r w:rsidR="00201CFB">
              <w:rPr>
                <w:rFonts w:cs="Arial"/>
                <w:color w:val="222A35" w:themeColor="text2" w:themeShade="80"/>
                <w:sz w:val="26"/>
                <w:szCs w:val="26"/>
              </w:rPr>
              <w:t xml:space="preserve">to </w:t>
            </w:r>
            <w:r w:rsidR="00201CFB" w:rsidRPr="00544920">
              <w:rPr>
                <w:rFonts w:cs="Arial"/>
                <w:b/>
                <w:color w:val="00B050"/>
                <w:sz w:val="26"/>
                <w:szCs w:val="26"/>
              </w:rPr>
              <w:t>High</w:t>
            </w:r>
          </w:p>
          <w:tbl>
            <w:tblPr>
              <w:tblStyle w:val="Tablaconcuadrcula"/>
              <w:tblW w:w="5111" w:type="dxa"/>
              <w:tblInd w:w="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left w:w="85" w:type="dxa"/>
                <w:bottom w:w="85" w:type="dxa"/>
                <w:right w:w="85" w:type="dxa"/>
              </w:tblCellMar>
              <w:tblLook w:val="04A0" w:firstRow="1" w:lastRow="0" w:firstColumn="1" w:lastColumn="0" w:noHBand="0" w:noVBand="1"/>
            </w:tblPr>
            <w:tblGrid>
              <w:gridCol w:w="5111"/>
            </w:tblGrid>
            <w:tr w:rsidR="006015FA" w:rsidRPr="002A0AFB" w14:paraId="25E0A61F" w14:textId="77777777" w:rsidTr="00B82F5B">
              <w:trPr>
                <w:trHeight w:val="4634"/>
              </w:trPr>
              <w:tc>
                <w:tcPr>
                  <w:tcW w:w="5111" w:type="dxa"/>
                  <w:shd w:val="clear" w:color="auto" w:fill="FFFFFF" w:themeFill="background1"/>
                  <w:tcMar>
                    <w:top w:w="113" w:type="dxa"/>
                    <w:bottom w:w="57" w:type="dxa"/>
                  </w:tcMar>
                </w:tcPr>
                <w:p w14:paraId="64769679" w14:textId="77777777" w:rsidR="00EC2057" w:rsidRPr="007E07E8" w:rsidRDefault="00EC2057" w:rsidP="007E07E8">
                  <w:pPr>
                    <w:spacing w:before="120" w:after="120"/>
                    <w:rPr>
                      <w:rFonts w:cs="Arial"/>
                      <w:iCs/>
                      <w:color w:val="000000"/>
                      <w:shd w:val="clear" w:color="auto" w:fill="FFFFFF"/>
                      <w:vertAlign w:val="subscript"/>
                    </w:rPr>
                  </w:pPr>
                  <w:r w:rsidRPr="007E07E8">
                    <w:rPr>
                      <w:rFonts w:cs="Arial"/>
                      <w:b/>
                      <w:iCs/>
                      <w:color w:val="00B050"/>
                      <w:shd w:val="clear" w:color="auto" w:fill="FFFFFF"/>
                    </w:rPr>
                    <w:t>High</w:t>
                  </w:r>
                  <w:r w:rsidRPr="007E07E8">
                    <w:rPr>
                      <w:rFonts w:cs="Arial"/>
                      <w:b/>
                      <w:iCs/>
                      <w:color w:val="000000"/>
                      <w:shd w:val="clear" w:color="auto" w:fill="FFFFFF"/>
                    </w:rPr>
                    <w:t xml:space="preserve"> correlation with Sexual Behavior Scale (SBS):</w:t>
                  </w:r>
                </w:p>
                <w:p w14:paraId="3477869C" w14:textId="62BC7E7B" w:rsidR="00EC2057" w:rsidRPr="007E07E8" w:rsidRDefault="00EC2057" w:rsidP="007E07E8">
                  <w:pPr>
                    <w:spacing w:before="120" w:after="120"/>
                    <w:rPr>
                      <w:rFonts w:cs="Arial"/>
                      <w:iCs/>
                      <w:color w:val="000000"/>
                      <w:shd w:val="clear" w:color="auto" w:fill="FFFFFF"/>
                    </w:rPr>
                  </w:pPr>
                  <w:r w:rsidRPr="007E07E8">
                    <w:rPr>
                      <w:rFonts w:cs="Arial"/>
                      <w:iCs/>
                      <w:color w:val="000000"/>
                      <w:shd w:val="clear" w:color="auto" w:fill="FFFFFF"/>
                    </w:rPr>
                    <w:t>SAS</w:t>
                  </w:r>
                  <w:r w:rsidR="00E60E08" w:rsidRPr="007E07E8">
                    <w:rPr>
                      <w:rFonts w:cs="Arial"/>
                      <w:iCs/>
                      <w:color w:val="000000"/>
                      <w:shd w:val="clear" w:color="auto" w:fill="FFFFFF"/>
                    </w:rPr>
                    <w:t>: r</w:t>
                  </w:r>
                  <w:r w:rsidRPr="007E07E8">
                    <w:rPr>
                      <w:rFonts w:cs="Arial"/>
                      <w:iCs/>
                      <w:color w:val="000000"/>
                      <w:shd w:val="clear" w:color="auto" w:fill="FFFFFF"/>
                    </w:rPr>
                    <w:t xml:space="preserve"> = 0.85</w:t>
                  </w:r>
                </w:p>
                <w:p w14:paraId="6873E2AA" w14:textId="428AE22E" w:rsidR="00EC2057" w:rsidRPr="007E07E8" w:rsidRDefault="00EC2057" w:rsidP="007E07E8">
                  <w:pPr>
                    <w:spacing w:before="120" w:after="120"/>
                    <w:rPr>
                      <w:rFonts w:cs="Arial"/>
                      <w:iCs/>
                      <w:color w:val="000000"/>
                      <w:shd w:val="clear" w:color="auto" w:fill="FFFFFF"/>
                    </w:rPr>
                  </w:pPr>
                  <w:r w:rsidRPr="007E07E8">
                    <w:rPr>
                      <w:rFonts w:cs="Arial"/>
                      <w:iCs/>
                      <w:color w:val="000000"/>
                      <w:shd w:val="clear" w:color="auto" w:fill="FFFFFF"/>
                    </w:rPr>
                    <w:t>SIAS</w:t>
                  </w:r>
                  <w:r w:rsidR="00E60E08" w:rsidRPr="007E07E8">
                    <w:rPr>
                      <w:rFonts w:cs="Arial"/>
                      <w:iCs/>
                      <w:color w:val="000000"/>
                      <w:shd w:val="clear" w:color="auto" w:fill="FFFFFF"/>
                    </w:rPr>
                    <w:t>: r</w:t>
                  </w:r>
                  <w:r w:rsidRPr="007E07E8">
                    <w:rPr>
                      <w:rFonts w:cs="Arial"/>
                      <w:iCs/>
                      <w:color w:val="000000"/>
                      <w:shd w:val="clear" w:color="auto" w:fill="FFFFFF"/>
                    </w:rPr>
                    <w:t xml:space="preserve"> = 0.82</w:t>
                  </w:r>
                </w:p>
                <w:p w14:paraId="40CB8559" w14:textId="77777777" w:rsidR="00EC2057" w:rsidRPr="007E07E8" w:rsidRDefault="00EC2057" w:rsidP="007E07E8">
                  <w:pPr>
                    <w:spacing w:before="120" w:after="120"/>
                    <w:rPr>
                      <w:rFonts w:cs="Arial"/>
                      <w:iCs/>
                      <w:color w:val="000000"/>
                      <w:shd w:val="clear" w:color="auto" w:fill="FFFFFF"/>
                    </w:rPr>
                  </w:pPr>
                </w:p>
                <w:p w14:paraId="701B7BC6" w14:textId="078F9050" w:rsidR="002A0AFB" w:rsidRPr="007E07E8" w:rsidRDefault="004D4D39" w:rsidP="007E07E8">
                  <w:pPr>
                    <w:spacing w:before="120" w:after="120"/>
                    <w:rPr>
                      <w:rFonts w:cs="Arial"/>
                      <w:iCs/>
                      <w:color w:val="000000"/>
                      <w:shd w:val="clear" w:color="auto" w:fill="FFFFFF"/>
                      <w:vertAlign w:val="subscript"/>
                    </w:rPr>
                  </w:pPr>
                  <w:r w:rsidRPr="007E07E8">
                    <w:rPr>
                      <w:rFonts w:cs="Arial"/>
                      <w:b/>
                      <w:iCs/>
                      <w:color w:val="FF9300"/>
                      <w:shd w:val="clear" w:color="auto" w:fill="FFFFFF"/>
                    </w:rPr>
                    <w:t>Moderate</w:t>
                  </w:r>
                  <w:r w:rsidRPr="007E07E8">
                    <w:rPr>
                      <w:rFonts w:cs="Arial"/>
                      <w:b/>
                      <w:iCs/>
                      <w:color w:val="00B050"/>
                      <w:shd w:val="clear" w:color="auto" w:fill="FFFFFF"/>
                    </w:rPr>
                    <w:t xml:space="preserve"> </w:t>
                  </w:r>
                  <w:r w:rsidR="002A0AFB" w:rsidRPr="007E07E8">
                    <w:rPr>
                      <w:rFonts w:cs="Arial"/>
                      <w:b/>
                      <w:iCs/>
                      <w:color w:val="000000"/>
                      <w:shd w:val="clear" w:color="auto" w:fill="FFFFFF"/>
                    </w:rPr>
                    <w:t xml:space="preserve">correlation </w:t>
                  </w:r>
                  <w:r w:rsidR="00F11E09" w:rsidRPr="007E07E8">
                    <w:rPr>
                      <w:rFonts w:cs="Arial"/>
                      <w:b/>
                      <w:iCs/>
                      <w:color w:val="000000"/>
                      <w:shd w:val="clear" w:color="auto" w:fill="FFFFFF"/>
                    </w:rPr>
                    <w:t xml:space="preserve">with </w:t>
                  </w:r>
                  <w:r w:rsidRPr="007E07E8">
                    <w:rPr>
                      <w:rFonts w:cs="Arial"/>
                      <w:b/>
                      <w:iCs/>
                      <w:color w:val="000000"/>
                      <w:shd w:val="clear" w:color="auto" w:fill="FFFFFF"/>
                    </w:rPr>
                    <w:t xml:space="preserve">Emotional Quality of the Relationship </w:t>
                  </w:r>
                  <w:r w:rsidR="00EC2057" w:rsidRPr="007E07E8">
                    <w:rPr>
                      <w:rFonts w:cs="Arial"/>
                      <w:b/>
                      <w:iCs/>
                      <w:color w:val="000000"/>
                      <w:shd w:val="clear" w:color="auto" w:fill="FFFFFF"/>
                    </w:rPr>
                    <w:t xml:space="preserve">(EQR) </w:t>
                  </w:r>
                  <w:r w:rsidRPr="007E07E8">
                    <w:rPr>
                      <w:rFonts w:cs="Arial"/>
                      <w:b/>
                      <w:iCs/>
                      <w:color w:val="000000"/>
                      <w:shd w:val="clear" w:color="auto" w:fill="FFFFFF"/>
                    </w:rPr>
                    <w:t>Scale</w:t>
                  </w:r>
                  <w:r w:rsidR="00F11E09" w:rsidRPr="007E07E8">
                    <w:rPr>
                      <w:rFonts w:cs="Arial"/>
                      <w:b/>
                      <w:iCs/>
                      <w:color w:val="000000"/>
                      <w:shd w:val="clear" w:color="auto" w:fill="FFFFFF"/>
                    </w:rPr>
                    <w:t>:</w:t>
                  </w:r>
                </w:p>
                <w:p w14:paraId="764C1B6A" w14:textId="42EAEEE2" w:rsidR="00B21518" w:rsidRPr="007E07E8" w:rsidRDefault="00EC2057" w:rsidP="007E07E8">
                  <w:pPr>
                    <w:spacing w:before="120" w:after="120"/>
                    <w:rPr>
                      <w:rFonts w:cs="Arial"/>
                      <w:iCs/>
                      <w:color w:val="000000"/>
                      <w:shd w:val="clear" w:color="auto" w:fill="FFFFFF"/>
                    </w:rPr>
                  </w:pPr>
                  <w:r w:rsidRPr="007E07E8">
                    <w:rPr>
                      <w:rFonts w:cs="Arial"/>
                      <w:iCs/>
                      <w:color w:val="000000"/>
                      <w:shd w:val="clear" w:color="auto" w:fill="FFFFFF"/>
                    </w:rPr>
                    <w:t>SAS</w:t>
                  </w:r>
                  <w:r w:rsidR="00E60E08" w:rsidRPr="007E07E8">
                    <w:rPr>
                      <w:rFonts w:cs="Arial"/>
                      <w:iCs/>
                      <w:color w:val="000000"/>
                      <w:shd w:val="clear" w:color="auto" w:fill="FFFFFF"/>
                    </w:rPr>
                    <w:t>: r</w:t>
                  </w:r>
                  <w:r w:rsidR="00F11E09" w:rsidRPr="007E07E8">
                    <w:rPr>
                      <w:rFonts w:cs="Arial"/>
                      <w:iCs/>
                      <w:color w:val="000000"/>
                      <w:shd w:val="clear" w:color="auto" w:fill="FFFFFF"/>
                    </w:rPr>
                    <w:t xml:space="preserve"> = </w:t>
                  </w:r>
                  <w:r w:rsidR="004D4D39" w:rsidRPr="007E07E8">
                    <w:rPr>
                      <w:rFonts w:cs="Arial"/>
                      <w:iCs/>
                      <w:color w:val="000000"/>
                      <w:shd w:val="clear" w:color="auto" w:fill="FFFFFF"/>
                    </w:rPr>
                    <w:t>0.57</w:t>
                  </w:r>
                </w:p>
                <w:p w14:paraId="244931D6" w14:textId="4356F287" w:rsidR="00EC2057" w:rsidRPr="007E07E8" w:rsidRDefault="00EC2057" w:rsidP="007E07E8">
                  <w:pPr>
                    <w:spacing w:before="120" w:after="120"/>
                    <w:rPr>
                      <w:rFonts w:cs="Arial"/>
                      <w:iCs/>
                      <w:color w:val="000000"/>
                      <w:shd w:val="clear" w:color="auto" w:fill="FFFFFF"/>
                    </w:rPr>
                  </w:pPr>
                  <w:r w:rsidRPr="007E07E8">
                    <w:rPr>
                      <w:rFonts w:cs="Arial"/>
                      <w:iCs/>
                      <w:color w:val="000000"/>
                      <w:shd w:val="clear" w:color="auto" w:fill="FFFFFF"/>
                    </w:rPr>
                    <w:t>SIAS</w:t>
                  </w:r>
                  <w:r w:rsidR="00E60E08" w:rsidRPr="007E07E8">
                    <w:rPr>
                      <w:rFonts w:cs="Arial"/>
                      <w:iCs/>
                      <w:color w:val="000000"/>
                      <w:shd w:val="clear" w:color="auto" w:fill="FFFFFF"/>
                    </w:rPr>
                    <w:t>: r</w:t>
                  </w:r>
                  <w:r w:rsidRPr="007E07E8">
                    <w:rPr>
                      <w:rFonts w:cs="Arial"/>
                      <w:iCs/>
                      <w:color w:val="000000"/>
                      <w:shd w:val="clear" w:color="auto" w:fill="FFFFFF"/>
                    </w:rPr>
                    <w:t xml:space="preserve"> = 0.55</w:t>
                  </w:r>
                </w:p>
                <w:p w14:paraId="1D26E593" w14:textId="77777777" w:rsidR="004D4D39" w:rsidRPr="007E07E8" w:rsidRDefault="004D4D39" w:rsidP="007E07E8">
                  <w:pPr>
                    <w:spacing w:before="120" w:after="120"/>
                    <w:rPr>
                      <w:rFonts w:cs="Arial"/>
                      <w:iCs/>
                      <w:color w:val="000000"/>
                      <w:shd w:val="clear" w:color="auto" w:fill="FFFFFF"/>
                    </w:rPr>
                  </w:pPr>
                </w:p>
                <w:p w14:paraId="7841F684" w14:textId="44FE610F" w:rsidR="004D4D39" w:rsidRPr="007E07E8" w:rsidRDefault="004D4D39" w:rsidP="007E07E8">
                  <w:pPr>
                    <w:spacing w:before="120" w:after="120"/>
                    <w:rPr>
                      <w:rFonts w:cs="Arial"/>
                      <w:iCs/>
                      <w:color w:val="000000"/>
                      <w:shd w:val="clear" w:color="auto" w:fill="FFFFFF"/>
                      <w:vertAlign w:val="subscript"/>
                    </w:rPr>
                  </w:pPr>
                  <w:r w:rsidRPr="007E07E8">
                    <w:rPr>
                      <w:rFonts w:cs="Arial"/>
                      <w:b/>
                      <w:iCs/>
                      <w:color w:val="FF9300"/>
                      <w:shd w:val="clear" w:color="auto" w:fill="FFFFFF"/>
                    </w:rPr>
                    <w:t>Moderate</w:t>
                  </w:r>
                  <w:r w:rsidRPr="007E07E8">
                    <w:rPr>
                      <w:rFonts w:cs="Arial"/>
                      <w:b/>
                      <w:iCs/>
                      <w:color w:val="00B050"/>
                      <w:shd w:val="clear" w:color="auto" w:fill="FFFFFF"/>
                    </w:rPr>
                    <w:t xml:space="preserve"> </w:t>
                  </w:r>
                  <w:r w:rsidRPr="007E07E8">
                    <w:rPr>
                      <w:rFonts w:cs="Arial"/>
                      <w:b/>
                      <w:iCs/>
                      <w:color w:val="000000"/>
                      <w:shd w:val="clear" w:color="auto" w:fill="FFFFFF"/>
                    </w:rPr>
                    <w:t>correlation with Hospital Anxiety and Depression Scale</w:t>
                  </w:r>
                  <w:r w:rsidR="00EC2057" w:rsidRPr="007E07E8">
                    <w:rPr>
                      <w:rFonts w:cs="Arial"/>
                      <w:b/>
                      <w:iCs/>
                      <w:color w:val="000000"/>
                      <w:shd w:val="clear" w:color="auto" w:fill="FFFFFF"/>
                    </w:rPr>
                    <w:t xml:space="preserve"> (HADS)</w:t>
                  </w:r>
                  <w:r w:rsidRPr="007E07E8">
                    <w:rPr>
                      <w:rFonts w:cs="Arial"/>
                      <w:b/>
                      <w:iCs/>
                      <w:color w:val="000000"/>
                      <w:shd w:val="clear" w:color="auto" w:fill="FFFFFF"/>
                    </w:rPr>
                    <w:t>:</w:t>
                  </w:r>
                </w:p>
                <w:p w14:paraId="127D291B" w14:textId="375C635C" w:rsidR="004D4D39" w:rsidRPr="007E07E8" w:rsidRDefault="00EC2057" w:rsidP="007E07E8">
                  <w:pPr>
                    <w:spacing w:before="120" w:after="120"/>
                    <w:rPr>
                      <w:rFonts w:cs="Arial"/>
                      <w:iCs/>
                      <w:color w:val="000000"/>
                      <w:shd w:val="clear" w:color="auto" w:fill="FFFFFF"/>
                    </w:rPr>
                  </w:pPr>
                  <w:r w:rsidRPr="007E07E8">
                    <w:rPr>
                      <w:rFonts w:cs="Arial"/>
                      <w:iCs/>
                      <w:color w:val="000000"/>
                      <w:shd w:val="clear" w:color="auto" w:fill="FFFFFF"/>
                    </w:rPr>
                    <w:t>SAS</w:t>
                  </w:r>
                  <w:r w:rsidR="00E60E08" w:rsidRPr="007E07E8">
                    <w:rPr>
                      <w:rFonts w:cs="Arial"/>
                      <w:iCs/>
                      <w:color w:val="000000"/>
                      <w:shd w:val="clear" w:color="auto" w:fill="FFFFFF"/>
                    </w:rPr>
                    <w:t>: r</w:t>
                  </w:r>
                  <w:r w:rsidR="004D4D39" w:rsidRPr="007E07E8">
                    <w:rPr>
                      <w:rFonts w:cs="Arial"/>
                      <w:iCs/>
                      <w:color w:val="000000"/>
                      <w:shd w:val="clear" w:color="auto" w:fill="FFFFFF"/>
                    </w:rPr>
                    <w:t xml:space="preserve"> = 0.49</w:t>
                  </w:r>
                </w:p>
                <w:p w14:paraId="669EAA20" w14:textId="77777777" w:rsidR="004D4D39" w:rsidRPr="007E07E8" w:rsidRDefault="004D4D39" w:rsidP="007E07E8">
                  <w:pPr>
                    <w:spacing w:before="120" w:after="120"/>
                    <w:rPr>
                      <w:rFonts w:cs="Arial"/>
                      <w:iCs/>
                      <w:color w:val="000000"/>
                      <w:shd w:val="clear" w:color="auto" w:fill="FFFFFF"/>
                    </w:rPr>
                  </w:pPr>
                </w:p>
                <w:p w14:paraId="6FF18C1A" w14:textId="1CE394B3" w:rsidR="004D4D39" w:rsidRPr="007E07E8" w:rsidRDefault="004D4D39" w:rsidP="007E07E8">
                  <w:pPr>
                    <w:spacing w:before="120" w:after="120"/>
                    <w:rPr>
                      <w:rFonts w:cs="Arial"/>
                      <w:iCs/>
                      <w:color w:val="000000"/>
                      <w:shd w:val="clear" w:color="auto" w:fill="FFFFFF"/>
                      <w:vertAlign w:val="subscript"/>
                    </w:rPr>
                  </w:pPr>
                  <w:r w:rsidRPr="007E07E8">
                    <w:rPr>
                      <w:rFonts w:cs="Arial"/>
                      <w:b/>
                      <w:iCs/>
                      <w:color w:val="FF9300"/>
                      <w:shd w:val="clear" w:color="auto" w:fill="FFFFFF"/>
                    </w:rPr>
                    <w:t xml:space="preserve">Moderate </w:t>
                  </w:r>
                  <w:r w:rsidRPr="007E07E8">
                    <w:rPr>
                      <w:rFonts w:cs="Arial"/>
                      <w:b/>
                      <w:iCs/>
                      <w:color w:val="000000"/>
                      <w:shd w:val="clear" w:color="auto" w:fill="FFFFFF"/>
                    </w:rPr>
                    <w:t xml:space="preserve">correlation with </w:t>
                  </w:r>
                  <w:r w:rsidR="00EC2057" w:rsidRPr="007E07E8">
                    <w:rPr>
                      <w:rFonts w:cs="Arial"/>
                      <w:b/>
                      <w:iCs/>
                      <w:color w:val="000000"/>
                      <w:shd w:val="clear" w:color="auto" w:fill="FFFFFF"/>
                    </w:rPr>
                    <w:t>Quality of Life (VAS)</w:t>
                  </w:r>
                  <w:r w:rsidRPr="007E07E8">
                    <w:rPr>
                      <w:rFonts w:cs="Arial"/>
                      <w:b/>
                      <w:iCs/>
                      <w:color w:val="000000"/>
                      <w:shd w:val="clear" w:color="auto" w:fill="FFFFFF"/>
                    </w:rPr>
                    <w:t>:</w:t>
                  </w:r>
                </w:p>
                <w:p w14:paraId="5D67A17D" w14:textId="1E3530A0" w:rsidR="00EC2057" w:rsidRPr="007E07E8" w:rsidRDefault="00EC2057" w:rsidP="007E07E8">
                  <w:pPr>
                    <w:spacing w:before="120" w:after="120"/>
                    <w:rPr>
                      <w:rFonts w:cs="Arial"/>
                      <w:iCs/>
                      <w:color w:val="000000"/>
                      <w:shd w:val="clear" w:color="auto" w:fill="FFFFFF"/>
                    </w:rPr>
                  </w:pPr>
                  <w:r w:rsidRPr="007E07E8">
                    <w:rPr>
                      <w:rFonts w:cs="Arial"/>
                      <w:iCs/>
                      <w:color w:val="000000"/>
                      <w:shd w:val="clear" w:color="auto" w:fill="FFFFFF"/>
                    </w:rPr>
                    <w:t>SAS</w:t>
                  </w:r>
                  <w:r w:rsidR="00E60E08" w:rsidRPr="007E07E8">
                    <w:rPr>
                      <w:rFonts w:cs="Arial"/>
                      <w:iCs/>
                      <w:color w:val="000000"/>
                      <w:shd w:val="clear" w:color="auto" w:fill="FFFFFF"/>
                    </w:rPr>
                    <w:t>: r</w:t>
                  </w:r>
                  <w:r w:rsidR="004D4D39" w:rsidRPr="007E07E8">
                    <w:rPr>
                      <w:rFonts w:cs="Arial"/>
                      <w:iCs/>
                      <w:color w:val="000000"/>
                      <w:shd w:val="clear" w:color="auto" w:fill="FFFFFF"/>
                    </w:rPr>
                    <w:t xml:space="preserve"> = 0.</w:t>
                  </w:r>
                  <w:r w:rsidRPr="007E07E8">
                    <w:rPr>
                      <w:rFonts w:cs="Arial"/>
                      <w:iCs/>
                      <w:color w:val="000000"/>
                      <w:shd w:val="clear" w:color="auto" w:fill="FFFFFF"/>
                    </w:rPr>
                    <w:t>39</w:t>
                  </w:r>
                </w:p>
                <w:p w14:paraId="7D385DA9" w14:textId="77777777" w:rsidR="00EC2057" w:rsidRPr="007E07E8" w:rsidRDefault="00EC2057" w:rsidP="007E07E8">
                  <w:pPr>
                    <w:spacing w:before="120" w:after="120"/>
                    <w:rPr>
                      <w:rFonts w:cs="Arial"/>
                      <w:iCs/>
                      <w:color w:val="000000"/>
                      <w:shd w:val="clear" w:color="auto" w:fill="FFFFFF"/>
                      <w:lang w:val="en-US"/>
                    </w:rPr>
                  </w:pPr>
                </w:p>
                <w:p w14:paraId="6BAB1099" w14:textId="354407DF" w:rsidR="00EC2057" w:rsidRPr="007E07E8" w:rsidRDefault="00EC2057" w:rsidP="007E07E8">
                  <w:pPr>
                    <w:pStyle w:val="Subttulo"/>
                    <w:rPr>
                      <w:iCs/>
                    </w:rPr>
                  </w:pPr>
                  <w:r w:rsidRPr="007E07E8">
                    <w:rPr>
                      <w:iCs/>
                    </w:rPr>
                    <w:t>SAS values: (</w:t>
                  </w:r>
                  <w:proofErr w:type="spellStart"/>
                  <w:r w:rsidRPr="007E07E8">
                    <w:rPr>
                      <w:iCs/>
                    </w:rPr>
                    <w:t>Kreuter</w:t>
                  </w:r>
                  <w:proofErr w:type="spellEnd"/>
                  <w:r w:rsidRPr="007E07E8">
                    <w:rPr>
                      <w:iCs/>
                    </w:rPr>
                    <w:t xml:space="preserve"> et al. 1996; </w:t>
                  </w:r>
                  <w:r w:rsidR="007E07E8" w:rsidRPr="007E07E8">
                    <w:rPr>
                      <w:iCs/>
                    </w:rPr>
                    <w:t>n</w:t>
                  </w:r>
                  <w:r w:rsidRPr="007E07E8">
                    <w:rPr>
                      <w:iCs/>
                    </w:rPr>
                    <w:t>=75 (SCI group)</w:t>
                  </w:r>
                  <w:r w:rsidR="007E07E8" w:rsidRPr="007E07E8">
                    <w:rPr>
                      <w:iCs/>
                    </w:rPr>
                    <w:t>;</w:t>
                  </w:r>
                  <w:r w:rsidRPr="007E07E8">
                    <w:rPr>
                      <w:iCs/>
                    </w:rPr>
                    <w:t xml:space="preserve"> 65 male</w:t>
                  </w:r>
                  <w:r w:rsidR="007E07E8" w:rsidRPr="007E07E8">
                    <w:rPr>
                      <w:iCs/>
                    </w:rPr>
                    <w:t>s</w:t>
                  </w:r>
                  <w:r w:rsidRPr="007E07E8">
                    <w:rPr>
                      <w:iCs/>
                    </w:rPr>
                    <w:t xml:space="preserve">; </w:t>
                  </w:r>
                  <w:r w:rsidR="007E07E8" w:rsidRPr="007E07E8">
                    <w:rPr>
                      <w:iCs/>
                    </w:rPr>
                    <w:t>tetraplegia and paraplegia; Frankel A-D</w:t>
                  </w:r>
                  <w:r w:rsidRPr="007E07E8">
                    <w:rPr>
                      <w:iCs/>
                    </w:rPr>
                    <w:t>; median (range) 5 (1-9) years post-SCI)</w:t>
                  </w:r>
                </w:p>
                <w:p w14:paraId="1258910F" w14:textId="1E74D453" w:rsidR="006C2748" w:rsidRPr="007E07E8" w:rsidRDefault="00EC2057" w:rsidP="007E07E8">
                  <w:pPr>
                    <w:pStyle w:val="Subttulo"/>
                    <w:rPr>
                      <w:iCs/>
                    </w:rPr>
                  </w:pPr>
                  <w:r w:rsidRPr="007E07E8">
                    <w:rPr>
                      <w:iCs/>
                    </w:rPr>
                    <w:t>SIAS values: (</w:t>
                  </w:r>
                  <w:proofErr w:type="spellStart"/>
                  <w:r w:rsidRPr="007E07E8">
                    <w:rPr>
                      <w:iCs/>
                    </w:rPr>
                    <w:t>Kreuter</w:t>
                  </w:r>
                  <w:proofErr w:type="spellEnd"/>
                  <w:r w:rsidRPr="007E07E8">
                    <w:rPr>
                      <w:iCs/>
                    </w:rPr>
                    <w:t xml:space="preserve"> et al., 1994a; </w:t>
                  </w:r>
                  <w:r w:rsidR="007E07E8" w:rsidRPr="007E07E8">
                    <w:rPr>
                      <w:iCs/>
                    </w:rPr>
                    <w:t>n</w:t>
                  </w:r>
                  <w:r w:rsidRPr="007E07E8">
                    <w:rPr>
                      <w:iCs/>
                    </w:rPr>
                    <w:t>=49 healthy individuals with one SCI partner; mixed injury type; ≥</w:t>
                  </w:r>
                  <w:proofErr w:type="gramStart"/>
                  <w:r w:rsidRPr="007E07E8">
                    <w:rPr>
                      <w:iCs/>
                    </w:rPr>
                    <w:t>1 year</w:t>
                  </w:r>
                  <w:proofErr w:type="gramEnd"/>
                  <w:r w:rsidRPr="007E07E8">
                    <w:rPr>
                      <w:iCs/>
                    </w:rPr>
                    <w:t xml:space="preserve"> post-SCI)</w:t>
                  </w:r>
                </w:p>
                <w:p w14:paraId="5D67F280" w14:textId="77777777" w:rsidR="00B21518" w:rsidRPr="007E07E8" w:rsidRDefault="00B21518" w:rsidP="007E07E8">
                  <w:pPr>
                    <w:spacing w:before="120" w:after="120"/>
                    <w:rPr>
                      <w:iCs/>
                    </w:rPr>
                  </w:pPr>
                </w:p>
                <w:p w14:paraId="36563FF7" w14:textId="3BCBA0FE" w:rsidR="006015FA" w:rsidRPr="002A0AFB" w:rsidRDefault="002A0AFB" w:rsidP="007E07E8">
                  <w:pPr>
                    <w:spacing w:before="120" w:after="120"/>
                    <w:rPr>
                      <w:rFonts w:cs="Arial"/>
                      <w:b/>
                      <w:color w:val="FFFFFF" w:themeColor="background1"/>
                    </w:rPr>
                  </w:pPr>
                  <w:r w:rsidRPr="007E07E8">
                    <w:rPr>
                      <w:rFonts w:cs="Arial"/>
                      <w:b/>
                      <w:iCs/>
                      <w:color w:val="000000"/>
                      <w:shd w:val="clear" w:color="auto" w:fill="FFFFFF"/>
                    </w:rPr>
                    <w:t xml:space="preserve">Number of studies reporting validity data: </w:t>
                  </w:r>
                  <w:r w:rsidR="00EC2057" w:rsidRPr="007E07E8">
                    <w:rPr>
                      <w:rFonts w:cs="Arial"/>
                      <w:iCs/>
                      <w:color w:val="000000"/>
                      <w:shd w:val="clear" w:color="auto" w:fill="FFFFFF"/>
                    </w:rPr>
                    <w:t>2</w:t>
                  </w:r>
                </w:p>
              </w:tc>
            </w:tr>
          </w:tbl>
          <w:p w14:paraId="3651C05D" w14:textId="77777777" w:rsidR="006015FA" w:rsidRPr="002A0AFB" w:rsidRDefault="006015FA" w:rsidP="00A64F1F">
            <w:pPr>
              <w:rPr>
                <w:rFonts w:cs="Arial"/>
                <w:color w:val="FFFFFF" w:themeColor="background1"/>
              </w:rPr>
            </w:pPr>
          </w:p>
        </w:tc>
        <w:tc>
          <w:tcPr>
            <w:tcW w:w="5358" w:type="dxa"/>
            <w:gridSpan w:val="3"/>
            <w:tcBorders>
              <w:top w:val="nil"/>
              <w:left w:val="single" w:sz="4" w:space="0" w:color="auto"/>
              <w:bottom w:val="single" w:sz="4" w:space="0" w:color="auto"/>
              <w:right w:val="nil"/>
            </w:tcBorders>
            <w:shd w:val="clear" w:color="auto" w:fill="auto"/>
            <w:tcMar>
              <w:top w:w="28" w:type="dxa"/>
              <w:left w:w="142" w:type="dxa"/>
              <w:bottom w:w="28" w:type="dxa"/>
              <w:right w:w="142" w:type="dxa"/>
            </w:tcMar>
          </w:tcPr>
          <w:p w14:paraId="794D8619" w14:textId="1A36C86A" w:rsidR="006015FA" w:rsidRPr="002A0AFB" w:rsidRDefault="006015FA" w:rsidP="00ED0A92">
            <w:pPr>
              <w:pBdr>
                <w:bottom w:val="single" w:sz="4" w:space="1" w:color="auto"/>
              </w:pBdr>
              <w:spacing w:after="40"/>
              <w:rPr>
                <w:rFonts w:cs="Arial"/>
                <w:color w:val="222A35" w:themeColor="text2" w:themeShade="80"/>
                <w:sz w:val="26"/>
                <w:szCs w:val="26"/>
              </w:rPr>
            </w:pPr>
            <w:r w:rsidRPr="002A0AFB">
              <w:rPr>
                <w:rFonts w:cs="Arial"/>
                <w:color w:val="222A35" w:themeColor="text2" w:themeShade="80"/>
                <w:sz w:val="26"/>
                <w:szCs w:val="26"/>
              </w:rPr>
              <w:t>Reliability</w:t>
            </w:r>
            <w:r w:rsidR="00201CFB">
              <w:rPr>
                <w:rFonts w:cs="Arial"/>
                <w:color w:val="222A35" w:themeColor="text2" w:themeShade="80"/>
                <w:sz w:val="26"/>
                <w:szCs w:val="26"/>
              </w:rPr>
              <w:t xml:space="preserve"> – </w:t>
            </w:r>
            <w:r w:rsidR="008609E7" w:rsidRPr="007E07E8">
              <w:rPr>
                <w:rFonts w:cs="Arial"/>
                <w:b/>
                <w:color w:val="FF9300"/>
                <w:sz w:val="26"/>
                <w:szCs w:val="26"/>
                <w:shd w:val="clear" w:color="auto" w:fill="FFFFFF"/>
              </w:rPr>
              <w:t>Moderate</w:t>
            </w:r>
          </w:p>
          <w:tbl>
            <w:tblPr>
              <w:tblStyle w:val="Tablaconcuadrcula"/>
              <w:tblW w:w="5228" w:type="dxa"/>
              <w:tblInd w:w="17" w:type="dxa"/>
              <w:tblLayout w:type="fixed"/>
              <w:tblCellMar>
                <w:top w:w="85" w:type="dxa"/>
                <w:left w:w="85" w:type="dxa"/>
                <w:bottom w:w="85" w:type="dxa"/>
                <w:right w:w="85" w:type="dxa"/>
              </w:tblCellMar>
              <w:tblLook w:val="04A0" w:firstRow="1" w:lastRow="0" w:firstColumn="1" w:lastColumn="0" w:noHBand="0" w:noVBand="1"/>
            </w:tblPr>
            <w:tblGrid>
              <w:gridCol w:w="5228"/>
            </w:tblGrid>
            <w:tr w:rsidR="006015FA" w:rsidRPr="002A0AFB" w14:paraId="41986AB5" w14:textId="77777777" w:rsidTr="00B82F5B">
              <w:trPr>
                <w:trHeight w:val="1330"/>
              </w:trPr>
              <w:tc>
                <w:tcPr>
                  <w:tcW w:w="5256" w:type="dxa"/>
                  <w:tcBorders>
                    <w:top w:val="nil"/>
                    <w:left w:val="nil"/>
                    <w:bottom w:val="nil"/>
                    <w:right w:val="nil"/>
                  </w:tcBorders>
                  <w:shd w:val="clear" w:color="auto" w:fill="FFFFFF" w:themeFill="background1"/>
                  <w:tcMar>
                    <w:top w:w="113" w:type="dxa"/>
                  </w:tcMar>
                </w:tcPr>
                <w:p w14:paraId="166677FF" w14:textId="08C8C07F" w:rsidR="002A0AFB" w:rsidRPr="007E07E8" w:rsidRDefault="006C2748" w:rsidP="007E07E8">
                  <w:pPr>
                    <w:spacing w:before="120" w:after="120"/>
                    <w:rPr>
                      <w:rFonts w:cs="Arial"/>
                      <w:b/>
                      <w:iCs/>
                      <w:color w:val="000000"/>
                      <w:shd w:val="clear" w:color="auto" w:fill="FFFFFF"/>
                    </w:rPr>
                  </w:pPr>
                  <w:r w:rsidRPr="007E07E8">
                    <w:rPr>
                      <w:rFonts w:cs="Arial"/>
                      <w:b/>
                      <w:iCs/>
                      <w:color w:val="FF9300"/>
                      <w:shd w:val="clear" w:color="auto" w:fill="FFFFFF"/>
                    </w:rPr>
                    <w:t xml:space="preserve">Moderate </w:t>
                  </w:r>
                  <w:r w:rsidR="002A0AFB" w:rsidRPr="007E07E8">
                    <w:rPr>
                      <w:rFonts w:cs="Arial"/>
                      <w:b/>
                      <w:iCs/>
                      <w:color w:val="000000"/>
                      <w:shd w:val="clear" w:color="auto" w:fill="FFFFFF"/>
                    </w:rPr>
                    <w:t xml:space="preserve">Internal Consistency: </w:t>
                  </w:r>
                </w:p>
                <w:p w14:paraId="465918C0" w14:textId="51FBD67E" w:rsidR="006C2748" w:rsidRPr="007E07E8" w:rsidRDefault="00E22F88" w:rsidP="007E07E8">
                  <w:pPr>
                    <w:spacing w:before="120" w:after="120"/>
                    <w:rPr>
                      <w:rFonts w:cs="Arial"/>
                      <w:iCs/>
                      <w:color w:val="000000"/>
                      <w:shd w:val="clear" w:color="auto" w:fill="FFFFFF"/>
                      <w:lang w:val="en-US"/>
                    </w:rPr>
                  </w:pPr>
                  <w:r w:rsidRPr="007E07E8">
                    <w:rPr>
                      <w:rFonts w:cs="Arial"/>
                      <w:iCs/>
                      <w:color w:val="000000"/>
                      <w:shd w:val="clear" w:color="auto" w:fill="FFFFFF"/>
                    </w:rPr>
                    <w:t xml:space="preserve">SAS </w:t>
                  </w:r>
                  <w:r w:rsidR="002A0AFB" w:rsidRPr="007E07E8">
                    <w:rPr>
                      <w:rFonts w:cs="Arial"/>
                      <w:iCs/>
                      <w:color w:val="000000"/>
                      <w:shd w:val="clear" w:color="auto" w:fill="FFFFFF"/>
                    </w:rPr>
                    <w:t xml:space="preserve">α = </w:t>
                  </w:r>
                  <w:r w:rsidRPr="007E07E8">
                    <w:rPr>
                      <w:rFonts w:cs="Arial"/>
                      <w:iCs/>
                      <w:color w:val="000000"/>
                      <w:shd w:val="clear" w:color="auto" w:fill="FFFFFF"/>
                      <w:lang w:val="en-US"/>
                    </w:rPr>
                    <w:t>0.87</w:t>
                  </w:r>
                </w:p>
                <w:p w14:paraId="7AE4BDA0" w14:textId="59398A1C" w:rsidR="00E22F88" w:rsidRPr="007E07E8" w:rsidRDefault="00E22F88" w:rsidP="007E07E8">
                  <w:pPr>
                    <w:pStyle w:val="Subttulo"/>
                    <w:rPr>
                      <w:iCs/>
                    </w:rPr>
                  </w:pPr>
                  <w:r w:rsidRPr="007E07E8">
                    <w:rPr>
                      <w:iCs/>
                    </w:rPr>
                    <w:t>(</w:t>
                  </w:r>
                  <w:proofErr w:type="spellStart"/>
                  <w:r w:rsidRPr="007E07E8">
                    <w:rPr>
                      <w:iCs/>
                    </w:rPr>
                    <w:t>Kreuter</w:t>
                  </w:r>
                  <w:proofErr w:type="spellEnd"/>
                  <w:r w:rsidRPr="007E07E8">
                    <w:rPr>
                      <w:iCs/>
                    </w:rPr>
                    <w:t xml:space="preserve"> et al. 1996; </w:t>
                  </w:r>
                  <w:r w:rsidR="007E07E8" w:rsidRPr="007E07E8">
                    <w:rPr>
                      <w:iCs/>
                    </w:rPr>
                    <w:t>n</w:t>
                  </w:r>
                  <w:r w:rsidRPr="007E07E8">
                    <w:rPr>
                      <w:iCs/>
                    </w:rPr>
                    <w:t>=75</w:t>
                  </w:r>
                  <w:r w:rsidR="004D4D39" w:rsidRPr="007E07E8">
                    <w:rPr>
                      <w:iCs/>
                    </w:rPr>
                    <w:t xml:space="preserve"> (SCI group), 65 male</w:t>
                  </w:r>
                  <w:r w:rsidR="007E07E8" w:rsidRPr="007E07E8">
                    <w:rPr>
                      <w:iCs/>
                    </w:rPr>
                    <w:t>s</w:t>
                  </w:r>
                  <w:r w:rsidRPr="007E07E8">
                    <w:rPr>
                      <w:iCs/>
                    </w:rPr>
                    <w:t xml:space="preserve">; </w:t>
                  </w:r>
                  <w:r w:rsidR="007E07E8" w:rsidRPr="007E07E8">
                    <w:rPr>
                      <w:iCs/>
                    </w:rPr>
                    <w:t xml:space="preserve">tetraplegia and paraplegia; Frankel A-D; </w:t>
                  </w:r>
                  <w:r w:rsidR="004D4D39" w:rsidRPr="007E07E8">
                    <w:rPr>
                      <w:iCs/>
                    </w:rPr>
                    <w:t>median (range) 5 (</w:t>
                  </w:r>
                  <w:r w:rsidRPr="007E07E8">
                    <w:rPr>
                      <w:iCs/>
                    </w:rPr>
                    <w:t>1</w:t>
                  </w:r>
                  <w:r w:rsidR="004D4D39" w:rsidRPr="007E07E8">
                    <w:rPr>
                      <w:iCs/>
                    </w:rPr>
                    <w:t>-9)</w:t>
                  </w:r>
                  <w:r w:rsidRPr="007E07E8">
                    <w:rPr>
                      <w:iCs/>
                    </w:rPr>
                    <w:t xml:space="preserve"> year</w:t>
                  </w:r>
                  <w:r w:rsidR="004D4D39" w:rsidRPr="007E07E8">
                    <w:rPr>
                      <w:iCs/>
                    </w:rPr>
                    <w:t>s</w:t>
                  </w:r>
                  <w:r w:rsidRPr="007E07E8">
                    <w:rPr>
                      <w:iCs/>
                    </w:rPr>
                    <w:t xml:space="preserve"> post-SCI)</w:t>
                  </w:r>
                </w:p>
                <w:p w14:paraId="7534471A" w14:textId="39ADE4E7" w:rsidR="00E22F88" w:rsidRPr="007E07E8" w:rsidRDefault="00E22F88" w:rsidP="007E07E8">
                  <w:pPr>
                    <w:spacing w:before="120" w:after="120"/>
                    <w:rPr>
                      <w:rFonts w:cs="Arial"/>
                      <w:iCs/>
                      <w:color w:val="000000"/>
                      <w:shd w:val="clear" w:color="auto" w:fill="FFFFFF"/>
                      <w:lang w:val="en-US"/>
                    </w:rPr>
                  </w:pPr>
                  <w:r w:rsidRPr="007E07E8">
                    <w:rPr>
                      <w:rFonts w:cs="Arial"/>
                      <w:iCs/>
                      <w:color w:val="000000"/>
                      <w:shd w:val="clear" w:color="auto" w:fill="FFFFFF"/>
                      <w:lang w:val="en-US"/>
                    </w:rPr>
                    <w:t xml:space="preserve">SIAS </w:t>
                  </w:r>
                  <w:r w:rsidRPr="007E07E8">
                    <w:rPr>
                      <w:rFonts w:cs="Arial"/>
                      <w:iCs/>
                      <w:color w:val="000000"/>
                      <w:shd w:val="clear" w:color="auto" w:fill="FFFFFF"/>
                    </w:rPr>
                    <w:t>α = 0.86</w:t>
                  </w:r>
                </w:p>
                <w:p w14:paraId="215C798F" w14:textId="1D0975C8" w:rsidR="002A0AFB" w:rsidRPr="007E07E8" w:rsidRDefault="00C65F06" w:rsidP="007E07E8">
                  <w:pPr>
                    <w:pStyle w:val="Subttulo"/>
                    <w:rPr>
                      <w:iCs/>
                    </w:rPr>
                  </w:pPr>
                  <w:r w:rsidRPr="007E07E8">
                    <w:rPr>
                      <w:iCs/>
                    </w:rPr>
                    <w:t>(</w:t>
                  </w:r>
                  <w:proofErr w:type="spellStart"/>
                  <w:r w:rsidR="00E22F88" w:rsidRPr="007E07E8">
                    <w:rPr>
                      <w:iCs/>
                    </w:rPr>
                    <w:t>Kreuter</w:t>
                  </w:r>
                  <w:proofErr w:type="spellEnd"/>
                  <w:r w:rsidR="00E22F88" w:rsidRPr="007E07E8">
                    <w:rPr>
                      <w:iCs/>
                    </w:rPr>
                    <w:t xml:space="preserve"> et al. 1994a; </w:t>
                  </w:r>
                  <w:r w:rsidR="007E07E8" w:rsidRPr="007E07E8">
                    <w:rPr>
                      <w:iCs/>
                    </w:rPr>
                    <w:t>n</w:t>
                  </w:r>
                  <w:r w:rsidR="00E22F88" w:rsidRPr="007E07E8">
                    <w:rPr>
                      <w:iCs/>
                    </w:rPr>
                    <w:t xml:space="preserve">=49 </w:t>
                  </w:r>
                  <w:r w:rsidR="00EC2057" w:rsidRPr="007E07E8">
                    <w:rPr>
                      <w:iCs/>
                    </w:rPr>
                    <w:t>healthy individuals</w:t>
                  </w:r>
                  <w:r w:rsidR="00E22F88" w:rsidRPr="007E07E8">
                    <w:rPr>
                      <w:iCs/>
                    </w:rPr>
                    <w:t xml:space="preserve"> with one SCI partner; mixed injury type; ≥</w:t>
                  </w:r>
                  <w:proofErr w:type="gramStart"/>
                  <w:r w:rsidR="00E22F88" w:rsidRPr="007E07E8">
                    <w:rPr>
                      <w:iCs/>
                    </w:rPr>
                    <w:t>1 year</w:t>
                  </w:r>
                  <w:proofErr w:type="gramEnd"/>
                  <w:r w:rsidR="00E22F88" w:rsidRPr="007E07E8">
                    <w:rPr>
                      <w:iCs/>
                    </w:rPr>
                    <w:t xml:space="preserve"> post-SCI</w:t>
                  </w:r>
                  <w:r w:rsidRPr="007E07E8">
                    <w:rPr>
                      <w:iCs/>
                    </w:rPr>
                    <w:t>)</w:t>
                  </w:r>
                </w:p>
                <w:p w14:paraId="53DA7179" w14:textId="77777777" w:rsidR="00B21518" w:rsidRPr="007E07E8" w:rsidRDefault="00B21518" w:rsidP="007E07E8">
                  <w:pPr>
                    <w:spacing w:before="120" w:after="120"/>
                    <w:rPr>
                      <w:iCs/>
                    </w:rPr>
                  </w:pPr>
                </w:p>
                <w:p w14:paraId="7CED95CA" w14:textId="74013FD3" w:rsidR="006015FA" w:rsidRPr="002A0AFB" w:rsidRDefault="002A0AFB" w:rsidP="007E07E8">
                  <w:pPr>
                    <w:spacing w:before="120" w:after="120"/>
                    <w:rPr>
                      <w:rFonts w:cs="Arial"/>
                      <w:color w:val="000000"/>
                      <w:shd w:val="clear" w:color="auto" w:fill="FFFFFF"/>
                      <w:vertAlign w:val="subscript"/>
                    </w:rPr>
                  </w:pPr>
                  <w:r w:rsidRPr="007E07E8">
                    <w:rPr>
                      <w:rFonts w:cs="Arial"/>
                      <w:b/>
                      <w:iCs/>
                      <w:color w:val="000000"/>
                      <w:shd w:val="clear" w:color="auto" w:fill="FFFFFF"/>
                    </w:rPr>
                    <w:t xml:space="preserve">Number of studies reporting reliability data: </w:t>
                  </w:r>
                  <w:r w:rsidR="004D4D39" w:rsidRPr="007E07E8">
                    <w:rPr>
                      <w:rFonts w:cs="Arial"/>
                      <w:iCs/>
                      <w:color w:val="000000"/>
                      <w:shd w:val="clear" w:color="auto" w:fill="FFFFFF"/>
                    </w:rPr>
                    <w:t>2</w:t>
                  </w:r>
                </w:p>
              </w:tc>
            </w:tr>
          </w:tbl>
          <w:p w14:paraId="0F428A22" w14:textId="77777777" w:rsidR="006015FA" w:rsidRPr="002A0AFB" w:rsidRDefault="006015FA" w:rsidP="00A64F1F">
            <w:pPr>
              <w:rPr>
                <w:rFonts w:cs="Arial"/>
                <w:color w:val="FFFFFF" w:themeColor="background1"/>
              </w:rPr>
            </w:pPr>
          </w:p>
        </w:tc>
      </w:tr>
      <w:tr w:rsidR="006015FA" w:rsidRPr="00582CA3" w14:paraId="11252CE9" w14:textId="77777777" w:rsidTr="00ED0A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51"/>
        </w:trPr>
        <w:tc>
          <w:tcPr>
            <w:tcW w:w="10745" w:type="dxa"/>
            <w:gridSpan w:val="6"/>
            <w:tcBorders>
              <w:top w:val="single" w:sz="4" w:space="0" w:color="auto"/>
              <w:left w:val="nil"/>
              <w:bottom w:val="single" w:sz="4" w:space="0" w:color="auto"/>
              <w:right w:val="nil"/>
            </w:tcBorders>
            <w:tcMar>
              <w:top w:w="28" w:type="dxa"/>
              <w:left w:w="142" w:type="dxa"/>
              <w:bottom w:w="28" w:type="dxa"/>
              <w:right w:w="142" w:type="dxa"/>
            </w:tcMar>
            <w:vAlign w:val="center"/>
          </w:tcPr>
          <w:p w14:paraId="260B0E02" w14:textId="77777777" w:rsidR="006015FA" w:rsidRPr="002A0AFB" w:rsidRDefault="006015FA" w:rsidP="00ED0A92">
            <w:pPr>
              <w:spacing w:after="40"/>
              <w:jc w:val="center"/>
              <w:rPr>
                <w:rFonts w:cs="Arial"/>
                <w:color w:val="222A35" w:themeColor="text2" w:themeShade="80"/>
                <w:sz w:val="26"/>
                <w:szCs w:val="26"/>
              </w:rPr>
            </w:pPr>
            <w:r w:rsidRPr="002A0AFB">
              <w:rPr>
                <w:rFonts w:cs="Arial"/>
                <w:color w:val="222A35" w:themeColor="text2" w:themeShade="80"/>
                <w:sz w:val="26"/>
                <w:szCs w:val="26"/>
              </w:rPr>
              <w:t>Responsiveness</w:t>
            </w:r>
          </w:p>
        </w:tc>
      </w:tr>
      <w:tr w:rsidR="006015FA" w14:paraId="32CC1044" w14:textId="77777777" w:rsidTr="00ED0A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92"/>
        </w:trPr>
        <w:tc>
          <w:tcPr>
            <w:tcW w:w="3581" w:type="dxa"/>
            <w:gridSpan w:val="2"/>
            <w:tcBorders>
              <w:top w:val="single" w:sz="4" w:space="0" w:color="auto"/>
              <w:left w:val="nil"/>
              <w:bottom w:val="nil"/>
              <w:right w:val="nil"/>
            </w:tcBorders>
            <w:tcMar>
              <w:top w:w="113" w:type="dxa"/>
              <w:left w:w="142" w:type="dxa"/>
              <w:bottom w:w="28" w:type="dxa"/>
              <w:right w:w="142" w:type="dxa"/>
            </w:tcMar>
          </w:tcPr>
          <w:p w14:paraId="5A389360" w14:textId="77777777" w:rsidR="006015FA" w:rsidRPr="002A0AFB" w:rsidRDefault="006015FA" w:rsidP="00A64F1F">
            <w:pPr>
              <w:rPr>
                <w:rFonts w:cs="Arial"/>
                <w:b/>
                <w:color w:val="000000"/>
                <w:shd w:val="clear" w:color="auto" w:fill="FFFFFF"/>
              </w:rPr>
            </w:pPr>
            <w:r w:rsidRPr="002A0AFB">
              <w:rPr>
                <w:rFonts w:cs="Arial"/>
                <w:b/>
                <w:color w:val="000000"/>
                <w:shd w:val="clear" w:color="auto" w:fill="FFFFFF"/>
              </w:rPr>
              <w:t>Floor/Ceiling Effect:</w:t>
            </w:r>
          </w:p>
          <w:p w14:paraId="496E380E" w14:textId="13EE8A6E" w:rsidR="006015FA" w:rsidRPr="006C2748" w:rsidRDefault="00B21518" w:rsidP="00B21518">
            <w:r w:rsidRPr="00B21518">
              <w:rPr>
                <w:shd w:val="clear" w:color="auto" w:fill="FFFFFF"/>
              </w:rPr>
              <w:t>Not established in SCI</w:t>
            </w:r>
          </w:p>
        </w:tc>
        <w:tc>
          <w:tcPr>
            <w:tcW w:w="3582" w:type="dxa"/>
            <w:gridSpan w:val="3"/>
            <w:tcBorders>
              <w:top w:val="single" w:sz="4" w:space="0" w:color="auto"/>
              <w:left w:val="nil"/>
              <w:bottom w:val="nil"/>
              <w:right w:val="nil"/>
            </w:tcBorders>
            <w:tcMar>
              <w:top w:w="113" w:type="dxa"/>
              <w:left w:w="142" w:type="dxa"/>
              <w:bottom w:w="28" w:type="dxa"/>
              <w:right w:w="142" w:type="dxa"/>
            </w:tcMar>
          </w:tcPr>
          <w:p w14:paraId="246943F5" w14:textId="144F9A51" w:rsidR="006015FA" w:rsidRPr="002A0AFB" w:rsidRDefault="00C65F06" w:rsidP="00A64F1F">
            <w:pPr>
              <w:rPr>
                <w:rFonts w:cs="Arial"/>
                <w:b/>
                <w:color w:val="000000"/>
                <w:shd w:val="clear" w:color="auto" w:fill="FFFFFF"/>
              </w:rPr>
            </w:pPr>
            <w:r>
              <w:rPr>
                <w:rFonts w:cs="Arial"/>
                <w:b/>
                <w:color w:val="000000"/>
                <w:shd w:val="clear" w:color="auto" w:fill="FFFFFF"/>
              </w:rPr>
              <w:t>Effect Size</w:t>
            </w:r>
            <w:r w:rsidR="006015FA" w:rsidRPr="002A0AFB">
              <w:rPr>
                <w:rFonts w:cs="Arial"/>
                <w:b/>
                <w:color w:val="000000"/>
                <w:shd w:val="clear" w:color="auto" w:fill="FFFFFF"/>
              </w:rPr>
              <w:t xml:space="preserve">: </w:t>
            </w:r>
          </w:p>
          <w:p w14:paraId="7962B75E" w14:textId="6F5C11C1" w:rsidR="00B82F5B" w:rsidRPr="002A0AFB" w:rsidRDefault="00B21518" w:rsidP="00A64F1F">
            <w:pPr>
              <w:rPr>
                <w:rFonts w:cs="Arial"/>
                <w:color w:val="000000"/>
                <w:shd w:val="clear" w:color="auto" w:fill="FFFFFF"/>
              </w:rPr>
            </w:pPr>
            <w:r w:rsidRPr="00B21518">
              <w:rPr>
                <w:shd w:val="clear" w:color="auto" w:fill="FFFFFF"/>
              </w:rPr>
              <w:t>Not established in SCI</w:t>
            </w:r>
          </w:p>
        </w:tc>
        <w:tc>
          <w:tcPr>
            <w:tcW w:w="3582" w:type="dxa"/>
            <w:tcBorders>
              <w:top w:val="single" w:sz="4" w:space="0" w:color="auto"/>
              <w:left w:val="nil"/>
              <w:bottom w:val="nil"/>
              <w:right w:val="nil"/>
            </w:tcBorders>
            <w:tcMar>
              <w:top w:w="113" w:type="dxa"/>
              <w:left w:w="142" w:type="dxa"/>
              <w:bottom w:w="28" w:type="dxa"/>
              <w:right w:w="142" w:type="dxa"/>
            </w:tcMar>
          </w:tcPr>
          <w:p w14:paraId="5B2197DE" w14:textId="46550B13" w:rsidR="006015FA" w:rsidRPr="002A0AFB" w:rsidRDefault="006015FA" w:rsidP="00A64F1F">
            <w:pPr>
              <w:rPr>
                <w:rFonts w:cs="Arial"/>
              </w:rPr>
            </w:pPr>
            <w:r w:rsidRPr="002A0AFB">
              <w:rPr>
                <w:rFonts w:cs="Arial"/>
                <w:b/>
                <w:color w:val="000000"/>
                <w:shd w:val="clear" w:color="auto" w:fill="FFFFFF"/>
              </w:rPr>
              <w:t xml:space="preserve">Number of studies reporting responsiveness data: </w:t>
            </w:r>
            <w:r w:rsidR="00B21518">
              <w:rPr>
                <w:rFonts w:cs="Arial"/>
                <w:color w:val="000000"/>
                <w:shd w:val="clear" w:color="auto" w:fill="FFFFFF"/>
              </w:rPr>
              <w:t>0</w:t>
            </w:r>
          </w:p>
        </w:tc>
      </w:tr>
    </w:tbl>
    <w:p w14:paraId="71281B26" w14:textId="77777777" w:rsidR="006015FA" w:rsidRPr="007B1C44" w:rsidRDefault="006015FA" w:rsidP="00C3763F">
      <w:pPr>
        <w:rPr>
          <w:rFonts w:cs="Arial"/>
          <w:sz w:val="21"/>
        </w:rPr>
      </w:pPr>
    </w:p>
    <w:sectPr w:rsidR="006015FA" w:rsidRPr="007B1C44" w:rsidSect="006E61E5">
      <w:pgSz w:w="12240" w:h="15840"/>
      <w:pgMar w:top="284"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5002EFF" w:usb1="C000E47F" w:usb2="00000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06FEE"/>
    <w:multiLevelType w:val="hybridMultilevel"/>
    <w:tmpl w:val="9D0C740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27495146"/>
    <w:multiLevelType w:val="hybridMultilevel"/>
    <w:tmpl w:val="3EB27CEE"/>
    <w:lvl w:ilvl="0" w:tplc="7FB482E6">
      <w:start w:val="10"/>
      <w:numFmt w:val="bullet"/>
      <w:lvlText w:val="-"/>
      <w:lvlJc w:val="left"/>
      <w:pPr>
        <w:ind w:left="720" w:hanging="360"/>
      </w:pPr>
      <w:rPr>
        <w:rFonts w:ascii="Calibri" w:eastAsiaTheme="minorEastAsia" w:hAnsi="Calibri"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D4A09EA"/>
    <w:multiLevelType w:val="hybridMultilevel"/>
    <w:tmpl w:val="EDB83D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851647765">
    <w:abstractNumId w:val="1"/>
  </w:num>
  <w:num w:numId="2" w16cid:durableId="1097940422">
    <w:abstractNumId w:val="2"/>
  </w:num>
  <w:num w:numId="3" w16cid:durableId="1747995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512"/>
    <w:rsid w:val="0003575A"/>
    <w:rsid w:val="00052021"/>
    <w:rsid w:val="00063E5B"/>
    <w:rsid w:val="000A3034"/>
    <w:rsid w:val="000C7F96"/>
    <w:rsid w:val="000E1D3D"/>
    <w:rsid w:val="001838AF"/>
    <w:rsid w:val="001A0512"/>
    <w:rsid w:val="001F567C"/>
    <w:rsid w:val="00201CFB"/>
    <w:rsid w:val="0023370A"/>
    <w:rsid w:val="0024628D"/>
    <w:rsid w:val="002474BF"/>
    <w:rsid w:val="0025681A"/>
    <w:rsid w:val="002A0AFB"/>
    <w:rsid w:val="002A51FF"/>
    <w:rsid w:val="002D27FD"/>
    <w:rsid w:val="002E01BE"/>
    <w:rsid w:val="002E25F5"/>
    <w:rsid w:val="00314F64"/>
    <w:rsid w:val="00335E18"/>
    <w:rsid w:val="00341BDA"/>
    <w:rsid w:val="00364D6F"/>
    <w:rsid w:val="00373DA4"/>
    <w:rsid w:val="00381D82"/>
    <w:rsid w:val="00385098"/>
    <w:rsid w:val="003B7C8E"/>
    <w:rsid w:val="003F5363"/>
    <w:rsid w:val="00435799"/>
    <w:rsid w:val="00482F31"/>
    <w:rsid w:val="004A17BC"/>
    <w:rsid w:val="004C17DA"/>
    <w:rsid w:val="004C4A5E"/>
    <w:rsid w:val="004D15D7"/>
    <w:rsid w:val="004D4D39"/>
    <w:rsid w:val="004D6A00"/>
    <w:rsid w:val="004E4343"/>
    <w:rsid w:val="00544920"/>
    <w:rsid w:val="00552B7C"/>
    <w:rsid w:val="00581051"/>
    <w:rsid w:val="00582CA3"/>
    <w:rsid w:val="00583A45"/>
    <w:rsid w:val="005C2D91"/>
    <w:rsid w:val="005C3738"/>
    <w:rsid w:val="005F1E20"/>
    <w:rsid w:val="005F27D6"/>
    <w:rsid w:val="006015FA"/>
    <w:rsid w:val="006210DD"/>
    <w:rsid w:val="0067025E"/>
    <w:rsid w:val="006B7CD7"/>
    <w:rsid w:val="006C2748"/>
    <w:rsid w:val="006D6D50"/>
    <w:rsid w:val="006E61E5"/>
    <w:rsid w:val="0071424B"/>
    <w:rsid w:val="007315F8"/>
    <w:rsid w:val="007570B2"/>
    <w:rsid w:val="007A070B"/>
    <w:rsid w:val="007B1C44"/>
    <w:rsid w:val="007E07E8"/>
    <w:rsid w:val="007E7FD8"/>
    <w:rsid w:val="007F367F"/>
    <w:rsid w:val="008556B4"/>
    <w:rsid w:val="008609E7"/>
    <w:rsid w:val="00895B07"/>
    <w:rsid w:val="008974A0"/>
    <w:rsid w:val="008B69C3"/>
    <w:rsid w:val="008D4E79"/>
    <w:rsid w:val="00941054"/>
    <w:rsid w:val="009451CD"/>
    <w:rsid w:val="00963A9B"/>
    <w:rsid w:val="00996B67"/>
    <w:rsid w:val="009C3D48"/>
    <w:rsid w:val="00A663F5"/>
    <w:rsid w:val="00A74A38"/>
    <w:rsid w:val="00A815D7"/>
    <w:rsid w:val="00AD6188"/>
    <w:rsid w:val="00B009C1"/>
    <w:rsid w:val="00B21518"/>
    <w:rsid w:val="00B77CC8"/>
    <w:rsid w:val="00B8074E"/>
    <w:rsid w:val="00B82F5B"/>
    <w:rsid w:val="00B8665F"/>
    <w:rsid w:val="00B957DA"/>
    <w:rsid w:val="00BE4D3A"/>
    <w:rsid w:val="00C110F8"/>
    <w:rsid w:val="00C3482A"/>
    <w:rsid w:val="00C3763F"/>
    <w:rsid w:val="00C65F06"/>
    <w:rsid w:val="00C921C1"/>
    <w:rsid w:val="00CC597E"/>
    <w:rsid w:val="00D56929"/>
    <w:rsid w:val="00DB4643"/>
    <w:rsid w:val="00DE06D4"/>
    <w:rsid w:val="00E0510D"/>
    <w:rsid w:val="00E15100"/>
    <w:rsid w:val="00E178F4"/>
    <w:rsid w:val="00E22F88"/>
    <w:rsid w:val="00E2551F"/>
    <w:rsid w:val="00E60E08"/>
    <w:rsid w:val="00E85D53"/>
    <w:rsid w:val="00EC2057"/>
    <w:rsid w:val="00ED0A92"/>
    <w:rsid w:val="00F02726"/>
    <w:rsid w:val="00F0516E"/>
    <w:rsid w:val="00F10E24"/>
    <w:rsid w:val="00F11E09"/>
    <w:rsid w:val="00F13DED"/>
    <w:rsid w:val="00F24F4C"/>
    <w:rsid w:val="00FE7FA6"/>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3F5ED4"/>
  <w15:docId w15:val="{2A2B1C85-DD58-4D19-AFE6-89A825B5B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3F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A05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63A9B"/>
    <w:pPr>
      <w:ind w:left="720"/>
      <w:contextualSpacing/>
    </w:pPr>
  </w:style>
  <w:style w:type="character" w:styleId="Refdecomentario">
    <w:name w:val="annotation reference"/>
    <w:basedOn w:val="Fuentedeprrafopredeter"/>
    <w:uiPriority w:val="99"/>
    <w:semiHidden/>
    <w:unhideWhenUsed/>
    <w:rsid w:val="005C2D91"/>
    <w:rPr>
      <w:sz w:val="16"/>
      <w:szCs w:val="16"/>
    </w:rPr>
  </w:style>
  <w:style w:type="paragraph" w:styleId="Textocomentario">
    <w:name w:val="annotation text"/>
    <w:basedOn w:val="Normal"/>
    <w:link w:val="TextocomentarioCar"/>
    <w:uiPriority w:val="99"/>
    <w:semiHidden/>
    <w:unhideWhenUsed/>
    <w:rsid w:val="005C2D9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C2D91"/>
    <w:rPr>
      <w:sz w:val="20"/>
      <w:szCs w:val="20"/>
    </w:rPr>
  </w:style>
  <w:style w:type="paragraph" w:styleId="Asuntodelcomentario">
    <w:name w:val="annotation subject"/>
    <w:basedOn w:val="Textocomentario"/>
    <w:next w:val="Textocomentario"/>
    <w:link w:val="AsuntodelcomentarioCar"/>
    <w:uiPriority w:val="99"/>
    <w:semiHidden/>
    <w:unhideWhenUsed/>
    <w:rsid w:val="005C2D91"/>
    <w:rPr>
      <w:b/>
      <w:bCs/>
    </w:rPr>
  </w:style>
  <w:style w:type="character" w:customStyle="1" w:styleId="AsuntodelcomentarioCar">
    <w:name w:val="Asunto del comentario Car"/>
    <w:basedOn w:val="TextocomentarioCar"/>
    <w:link w:val="Asuntodelcomentario"/>
    <w:uiPriority w:val="99"/>
    <w:semiHidden/>
    <w:rsid w:val="005C2D91"/>
    <w:rPr>
      <w:b/>
      <w:bCs/>
      <w:sz w:val="20"/>
      <w:szCs w:val="20"/>
    </w:rPr>
  </w:style>
  <w:style w:type="paragraph" w:styleId="Textodeglobo">
    <w:name w:val="Balloon Text"/>
    <w:basedOn w:val="Normal"/>
    <w:link w:val="TextodegloboCar"/>
    <w:uiPriority w:val="99"/>
    <w:semiHidden/>
    <w:unhideWhenUsed/>
    <w:rsid w:val="005C2D9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2D91"/>
    <w:rPr>
      <w:rFonts w:ascii="Segoe UI" w:hAnsi="Segoe UI" w:cs="Segoe UI"/>
      <w:sz w:val="18"/>
      <w:szCs w:val="18"/>
    </w:rPr>
  </w:style>
  <w:style w:type="character" w:styleId="Hipervnculo">
    <w:name w:val="Hyperlink"/>
    <w:basedOn w:val="Fuentedeprrafopredeter"/>
    <w:uiPriority w:val="99"/>
    <w:unhideWhenUsed/>
    <w:rsid w:val="00435799"/>
    <w:rPr>
      <w:color w:val="0563C1" w:themeColor="hyperlink"/>
      <w:u w:val="single"/>
    </w:rPr>
  </w:style>
  <w:style w:type="paragraph" w:styleId="Subttulo">
    <w:name w:val="Subtitle"/>
    <w:basedOn w:val="Normal"/>
    <w:next w:val="Normal"/>
    <w:link w:val="SubttuloCar"/>
    <w:uiPriority w:val="11"/>
    <w:qFormat/>
    <w:rsid w:val="00F11E09"/>
    <w:pPr>
      <w:numPr>
        <w:ilvl w:val="1"/>
      </w:numPr>
      <w:spacing w:before="120" w:after="120" w:line="240" w:lineRule="auto"/>
    </w:pPr>
    <w:rPr>
      <w:sz w:val="16"/>
    </w:rPr>
  </w:style>
  <w:style w:type="character" w:customStyle="1" w:styleId="SubttuloCar">
    <w:name w:val="Subtítulo Car"/>
    <w:basedOn w:val="Fuentedeprrafopredeter"/>
    <w:link w:val="Subttulo"/>
    <w:uiPriority w:val="11"/>
    <w:rsid w:val="00F11E09"/>
    <w:rPr>
      <w:sz w:val="16"/>
    </w:rPr>
  </w:style>
  <w:style w:type="paragraph" w:styleId="Sinespaciado">
    <w:name w:val="No Spacing"/>
    <w:uiPriority w:val="1"/>
    <w:qFormat/>
    <w:rsid w:val="00C921C1"/>
    <w:pPr>
      <w:spacing w:after="0" w:line="240" w:lineRule="auto"/>
    </w:pPr>
    <w:rPr>
      <w:sz w:val="24"/>
    </w:rPr>
  </w:style>
  <w:style w:type="character" w:styleId="Hipervnculovisitado">
    <w:name w:val="FollowedHyperlink"/>
    <w:basedOn w:val="Fuentedeprrafopredeter"/>
    <w:uiPriority w:val="99"/>
    <w:semiHidden/>
    <w:unhideWhenUsed/>
    <w:rsid w:val="0024628D"/>
    <w:rPr>
      <w:color w:val="954F72" w:themeColor="followedHyperlink"/>
      <w:u w:val="single"/>
    </w:rPr>
  </w:style>
  <w:style w:type="character" w:styleId="Mencinsinresolver">
    <w:name w:val="Unresolved Mention"/>
    <w:basedOn w:val="Fuentedeprrafopredeter"/>
    <w:uiPriority w:val="99"/>
    <w:semiHidden/>
    <w:unhideWhenUsed/>
    <w:rsid w:val="00E60E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78174">
      <w:bodyDiv w:val="1"/>
      <w:marLeft w:val="0"/>
      <w:marRight w:val="0"/>
      <w:marTop w:val="0"/>
      <w:marBottom w:val="0"/>
      <w:divBdr>
        <w:top w:val="none" w:sz="0" w:space="0" w:color="auto"/>
        <w:left w:val="none" w:sz="0" w:space="0" w:color="auto"/>
        <w:bottom w:val="none" w:sz="0" w:space="0" w:color="auto"/>
        <w:right w:val="none" w:sz="0" w:space="0" w:color="auto"/>
      </w:divBdr>
    </w:div>
    <w:div w:id="173527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cbi.nlm.nih.gov/pubmed/80226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cbi.nlm.nih.gov/pubmed/7885719" TargetMode="External"/><Relationship Id="rId5" Type="http://schemas.openxmlformats.org/officeDocument/2006/relationships/hyperlink" Target="https://scireproject.com/wp-content/uploads/2022/04/worksheet_sexual_activity_and_satisfaction_scale_sas-2.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Zhu</dc:creator>
  <cp:keywords/>
  <dc:description/>
  <cp:lastModifiedBy>Carlos Leonardo Cano Herrera</cp:lastModifiedBy>
  <cp:revision>3</cp:revision>
  <dcterms:created xsi:type="dcterms:W3CDTF">2024-08-20T21:19:00Z</dcterms:created>
  <dcterms:modified xsi:type="dcterms:W3CDTF">2024-08-26T19:57:00Z</dcterms:modified>
</cp:coreProperties>
</file>