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341BDA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11"/>
        <w:gridCol w:w="1806"/>
        <w:gridCol w:w="1701"/>
        <w:gridCol w:w="75"/>
        <w:gridCol w:w="3582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6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0AE9D382" w:rsidR="001A0512" w:rsidRPr="005F27D6" w:rsidRDefault="00315B57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315B57">
              <w:rPr>
                <w:rFonts w:cs="Arial"/>
                <w:color w:val="FFFFFF" w:themeColor="background1"/>
                <w:sz w:val="28"/>
                <w:szCs w:val="28"/>
              </w:rPr>
              <w:t>Qualiveen</w:t>
            </w:r>
            <w:proofErr w:type="spellEnd"/>
            <w:r w:rsidRPr="00315B57">
              <w:rPr>
                <w:rFonts w:cs="Arial"/>
                <w:color w:val="FFFFFF" w:themeColor="background1"/>
                <w:sz w:val="28"/>
                <w:szCs w:val="28"/>
              </w:rPr>
              <w:t xml:space="preserve"> Questionnaire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6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59FF2A23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0FD53697" w14:textId="77777777" w:rsidR="00341BDA" w:rsidRDefault="00315B57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Quality of Life</w:t>
                  </w:r>
                </w:p>
                <w:p w14:paraId="019BE85F" w14:textId="77777777" w:rsidR="006C45CE" w:rsidRDefault="006C45CE" w:rsidP="00F11E09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Subscales (domains):</w:t>
                  </w:r>
                </w:p>
                <w:p w14:paraId="67048F27" w14:textId="77777777" w:rsidR="006C45CE" w:rsidRDefault="006C45CE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Limitations/Inconvenience</w:t>
                  </w:r>
                </w:p>
                <w:p w14:paraId="2C6D413B" w14:textId="77777777" w:rsidR="006C45CE" w:rsidRDefault="006C45CE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Constraints/Restrictions</w:t>
                  </w:r>
                </w:p>
                <w:p w14:paraId="31EFDD07" w14:textId="77777777" w:rsidR="006C45CE" w:rsidRDefault="006C45CE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Fears</w:t>
                  </w:r>
                </w:p>
                <w:p w14:paraId="438008B5" w14:textId="2D005D54" w:rsidR="006C45CE" w:rsidRPr="006C45CE" w:rsidRDefault="006C45CE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Feelings/Impact on Daily Life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1E3CF7F2" w14:textId="77777777" w:rsidR="00A53E2B" w:rsidRDefault="00315B57" w:rsidP="00315B57">
                  <w:r w:rsidRPr="00315B57">
                    <w:t xml:space="preserve">The </w:t>
                  </w:r>
                  <w:proofErr w:type="spellStart"/>
                  <w:r w:rsidRPr="00315B57">
                    <w:t>Qualiveen</w:t>
                  </w:r>
                  <w:proofErr w:type="spellEnd"/>
                  <w:r w:rsidRPr="00315B57">
                    <w:t xml:space="preserve"> Questionnaire is </w:t>
                  </w:r>
                  <w:r>
                    <w:t xml:space="preserve">a </w:t>
                  </w:r>
                  <w:r w:rsidRPr="00315B57">
                    <w:t xml:space="preserve">self-report or interview-based measure developed as a condition-specific quality of life measure that could be used in international multi-centre trials, for individuals with SCI who have urinary disorders. </w:t>
                  </w:r>
                </w:p>
                <w:p w14:paraId="4DF00826" w14:textId="77777777" w:rsidR="00A53E2B" w:rsidRDefault="00A53E2B" w:rsidP="00315B57"/>
                <w:p w14:paraId="4F016AB6" w14:textId="6B1D8275" w:rsidR="00435799" w:rsidRPr="002A0AFB" w:rsidRDefault="00A53E2B" w:rsidP="00315B57">
                  <w:pPr>
                    <w:rPr>
                      <w:lang w:val="en-US"/>
                    </w:rPr>
                  </w:pPr>
                  <w:r>
                    <w:t xml:space="preserve">It </w:t>
                  </w:r>
                  <w:r w:rsidR="00315B57" w:rsidRPr="00315B57">
                    <w:t xml:space="preserve">contains 4 domains: Limitations/Inconvenience, Constraints/Restrictions, Fears, Feelings/Impact on Daily Life. The Questionnaire has </w:t>
                  </w:r>
                  <w:r>
                    <w:t>three</w:t>
                  </w:r>
                  <w:r w:rsidR="00315B57" w:rsidRPr="00315B57">
                    <w:t xml:space="preserve"> versions (in order of development): </w:t>
                  </w:r>
                  <w:proofErr w:type="spellStart"/>
                  <w:r w:rsidR="00315B57" w:rsidRPr="00315B57">
                    <w:t>Qualiveen</w:t>
                  </w:r>
                  <w:proofErr w:type="spellEnd"/>
                  <w:r w:rsidR="00315B57" w:rsidRPr="00315B57">
                    <w:t xml:space="preserve"> (40 items), Qualiveen-30, SF-</w:t>
                  </w:r>
                  <w:proofErr w:type="spellStart"/>
                  <w:r w:rsidR="00315B57" w:rsidRPr="00315B57">
                    <w:t>Qualiveen</w:t>
                  </w:r>
                  <w:proofErr w:type="spellEnd"/>
                  <w:r w:rsidR="00315B57" w:rsidRPr="00315B57">
                    <w:t xml:space="preserve"> (8 items).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7777777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7111A7A6" w14:textId="77777777" w:rsidR="00315B57" w:rsidRDefault="00315B57" w:rsidP="005F27D6">
                  <w:pPr>
                    <w:rPr>
                      <w:rFonts w:cs="Arial"/>
                    </w:rPr>
                  </w:pPr>
                  <w:r w:rsidRPr="00315B57">
                    <w:rPr>
                      <w:rFonts w:cs="Arial"/>
                    </w:rPr>
                    <w:t>Qualiveen-30: 30 minutes</w:t>
                  </w:r>
                  <w:r>
                    <w:rPr>
                      <w:rFonts w:cs="Arial"/>
                    </w:rPr>
                    <w:t>,</w:t>
                  </w:r>
                  <w:r w:rsidRPr="00315B57">
                    <w:rPr>
                      <w:rFonts w:cs="Arial"/>
                      <w:b/>
                    </w:rPr>
                    <w:t xml:space="preserve"> </w:t>
                  </w:r>
                  <w:r w:rsidRPr="00315B57">
                    <w:rPr>
                      <w:rFonts w:cs="Arial"/>
                    </w:rPr>
                    <w:t>30</w:t>
                  </w:r>
                  <w:r>
                    <w:rPr>
                      <w:rFonts w:cs="Arial"/>
                    </w:rPr>
                    <w:t xml:space="preserve"> items</w:t>
                  </w:r>
                  <w:r w:rsidRPr="00315B57">
                    <w:rPr>
                      <w:rFonts w:cs="Arial"/>
                    </w:rPr>
                    <w:t xml:space="preserve"> </w:t>
                  </w:r>
                </w:p>
                <w:p w14:paraId="40FE588A" w14:textId="4D59770D" w:rsidR="00544920" w:rsidRDefault="00544920" w:rsidP="005F27D6">
                  <w:pPr>
                    <w:rPr>
                      <w:rFonts w:cs="Arial"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521AB71C" w14:textId="4BE670C4" w:rsidR="00315B57" w:rsidRPr="00315B57" w:rsidRDefault="00315B57" w:rsidP="00315B57">
                  <w:pPr>
                    <w:rPr>
                      <w:lang w:val="en-US"/>
                    </w:rPr>
                  </w:pPr>
                  <w:r w:rsidRPr="00315B57">
                    <w:rPr>
                      <w:lang w:val="en-US"/>
                    </w:rPr>
                    <w:t xml:space="preserve">The questionnaire is based on a </w:t>
                  </w:r>
                  <w:r w:rsidR="00A53E2B" w:rsidRPr="00315B57">
                    <w:rPr>
                      <w:lang w:val="en-US"/>
                    </w:rPr>
                    <w:t>5-point</w:t>
                  </w:r>
                  <w:r w:rsidRPr="00315B57">
                    <w:rPr>
                      <w:lang w:val="en-US"/>
                    </w:rPr>
                    <w:t xml:space="preserve"> Likert scale</w:t>
                  </w:r>
                  <w:r w:rsidR="00D9375D">
                    <w:rPr>
                      <w:lang w:val="en-US"/>
                    </w:rPr>
                    <w:t xml:space="preserve"> (0 = “not at all”, 4 = “extremely”)</w:t>
                  </w:r>
                  <w:r w:rsidRPr="00315B57">
                    <w:rPr>
                      <w:lang w:val="en-US"/>
                    </w:rPr>
                    <w:t>. Each domain score is calculated as an average of t</w:t>
                  </w:r>
                  <w:r>
                    <w:rPr>
                      <w:lang w:val="en-US"/>
                    </w:rPr>
                    <w:t xml:space="preserve">he scores for the domain items. </w:t>
                  </w:r>
                  <w:r w:rsidRPr="00315B57">
                    <w:rPr>
                      <w:lang w:val="en-US"/>
                    </w:rPr>
                    <w:t>An overall (averaged) score can also be calculated.</w:t>
                  </w:r>
                </w:p>
                <w:p w14:paraId="17A84757" w14:textId="2F2C3D16" w:rsidR="00544920" w:rsidRPr="00544920" w:rsidRDefault="00315B57" w:rsidP="005F27D6">
                  <w:pPr>
                    <w:rPr>
                      <w:rFonts w:cs="Arial"/>
                    </w:rPr>
                  </w:pPr>
                  <w:r w:rsidRPr="00315B57">
                    <w:t>Lower scores on this questionnaire indicate higher quality of life.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5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5F5D4867" w14:textId="5B4273A1" w:rsidR="00546D9A" w:rsidRPr="00D35BDF" w:rsidRDefault="00095EAE" w:rsidP="00546D9A">
                  <w:pPr>
                    <w:spacing w:after="40"/>
                    <w:rPr>
                      <w:rFonts w:cstheme="minorHAnsi"/>
                      <w:u w:val="single"/>
                    </w:rPr>
                  </w:pPr>
                  <w:r w:rsidRPr="00095EAE">
                    <w:rPr>
                      <w:rFonts w:cstheme="minorHAnsi"/>
                      <w:b/>
                      <w:bCs/>
                    </w:rPr>
                    <w:t>Worksheet:</w:t>
                  </w:r>
                  <w:r>
                    <w:rPr>
                      <w:rFonts w:cstheme="minorHAnsi"/>
                    </w:rPr>
                    <w:t xml:space="preserve"> </w:t>
                  </w:r>
                  <w:r w:rsidR="003D1FA3" w:rsidRPr="00D35BDF">
                    <w:rPr>
                      <w:rFonts w:cstheme="minorHAnsi"/>
                    </w:rPr>
                    <w:t xml:space="preserve">Available for purchase at </w:t>
                  </w:r>
                  <w:hyperlink r:id="rId5" w:history="1">
                    <w:r w:rsidR="003D1FA3" w:rsidRPr="00D35BDF">
                      <w:rPr>
                        <w:rStyle w:val="Hipervnculo"/>
                        <w:rFonts w:cstheme="minorHAnsi"/>
                      </w:rPr>
                      <w:t>https://eprovide.mapi-trust.org/</w:t>
                    </w:r>
                  </w:hyperlink>
                  <w:r w:rsidR="003D1FA3" w:rsidRPr="00D35BDF">
                    <w:rPr>
                      <w:rFonts w:cstheme="minorHAnsi"/>
                    </w:rPr>
                    <w:t xml:space="preserve"> </w:t>
                  </w:r>
                  <w:r w:rsidR="00546D9A" w:rsidRPr="00D35BDF">
                    <w:rPr>
                      <w:rFonts w:cstheme="minorHAnsi"/>
                      <w:u w:val="single"/>
                    </w:rPr>
                    <w:t xml:space="preserve"> </w:t>
                  </w:r>
                </w:p>
                <w:p w14:paraId="1BB18E98" w14:textId="77777777" w:rsidR="00095EAE" w:rsidRDefault="00095EAE" w:rsidP="00546D9A">
                  <w:pPr>
                    <w:rPr>
                      <w:rFonts w:cstheme="minorHAnsi"/>
                      <w:b/>
                    </w:rPr>
                  </w:pPr>
                </w:p>
                <w:p w14:paraId="4E68D6A6" w14:textId="3E63F4C2" w:rsidR="002A0AFB" w:rsidRPr="002A0AFB" w:rsidRDefault="00F11E09" w:rsidP="00546D9A">
                  <w:r w:rsidRPr="00D35BDF">
                    <w:rPr>
                      <w:rFonts w:cstheme="minorHAnsi"/>
                      <w:b/>
                    </w:rPr>
                    <w:t>Languages:</w:t>
                  </w:r>
                  <w:r w:rsidRPr="00D35BDF">
                    <w:rPr>
                      <w:rFonts w:cstheme="minorHAnsi"/>
                    </w:rPr>
                    <w:t xml:space="preserve"> </w:t>
                  </w:r>
                  <w:r w:rsidR="00546D9A" w:rsidRPr="00D35BDF">
                    <w:rPr>
                      <w:rFonts w:cstheme="minorHAnsi"/>
                    </w:rPr>
                    <w:t>English, French, Spanish, Portuguese, Dutch, German, Italian, Arabic, Persian</w:t>
                  </w:r>
                  <w:r w:rsidR="00651F76" w:rsidRPr="00D35BDF">
                    <w:rPr>
                      <w:rFonts w:cstheme="minorHAnsi"/>
                    </w:rPr>
                    <w:t>, Greek, Polish,</w:t>
                  </w:r>
                  <w:r w:rsidR="00546D9A" w:rsidRPr="00D35BDF">
                    <w:rPr>
                      <w:rFonts w:cstheme="minorHAnsi"/>
                    </w:rPr>
                    <w:t xml:space="preserve"> and Turkish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6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435799">
        <w:trPr>
          <w:trHeight w:val="4876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1B2DF592" w:rsidR="000E1D3D" w:rsidRPr="002A0AFB" w:rsidRDefault="008C6BB1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623ADFBD" w14:textId="3E29F4BE" w:rsidR="00546D9A" w:rsidRPr="00F11E09" w:rsidRDefault="00546D9A" w:rsidP="00546D9A"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  <w:p w14:paraId="09592F48" w14:textId="685404F4" w:rsidR="00341BDA" w:rsidRPr="00F11E09" w:rsidRDefault="00341BDA" w:rsidP="00F11E09">
                  <w:pPr>
                    <w:pStyle w:val="Subttulo"/>
                  </w:pP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gridSpan w:val="2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0F1D1298" w:rsidR="00341BDA" w:rsidRPr="002A0AFB" w:rsidRDefault="008C6BB1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Typical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 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5A5E01" w14:textId="60C20F63" w:rsidR="00341BDA" w:rsidRPr="00546D9A" w:rsidRDefault="00546D9A" w:rsidP="00546D9A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546D9A">
                    <w:rPr>
                      <w:rFonts w:cs="Arial"/>
                      <w:color w:val="000000"/>
                      <w:shd w:val="clear" w:color="auto" w:fill="FFFFFF"/>
                    </w:rPr>
                    <w:t xml:space="preserve">See Research Summary for mean scores by populations: Sex, Age, Paraplegia/Tetraplegia, </w:t>
                  </w:r>
                  <w:r w:rsidR="006C45CE">
                    <w:rPr>
                      <w:rFonts w:cs="Arial"/>
                      <w:color w:val="000000"/>
                      <w:shd w:val="clear" w:color="auto" w:fill="FFFFFF"/>
                    </w:rPr>
                    <w:t xml:space="preserve">and </w:t>
                  </w:r>
                  <w:r w:rsidRPr="00546D9A">
                    <w:rPr>
                      <w:rFonts w:cs="Arial"/>
                      <w:color w:val="000000"/>
                      <w:shd w:val="clear" w:color="auto" w:fill="FFFFFF"/>
                    </w:rPr>
                    <w:t>Cauda equina syndrome.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29CB500E" w:rsidR="006015FA" w:rsidRPr="002A0AFB" w:rsidRDefault="006015FA" w:rsidP="00315B57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cs="Arial"/>
                <w:sz w:val="21"/>
              </w:rPr>
              <w:lastRenderedPageBreak/>
              <w:br w:type="page"/>
            </w: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AE3993">
        <w:trPr>
          <w:trHeight w:val="2860"/>
        </w:trPr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6C862E34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F0516E">
              <w:rPr>
                <w:rFonts w:cs="Arial"/>
                <w:b/>
                <w:color w:val="FF0000"/>
                <w:sz w:val="26"/>
                <w:szCs w:val="26"/>
              </w:rPr>
              <w:t>Low</w:t>
            </w:r>
            <w:r w:rsidR="00201CFB" w:rsidRPr="00F0516E">
              <w:rPr>
                <w:rFonts w:cs="Arial"/>
                <w:color w:val="FF0000"/>
                <w:sz w:val="26"/>
                <w:szCs w:val="26"/>
              </w:rPr>
              <w:t xml:space="preserve"> 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7A1F78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701B7BC6" w14:textId="3FB70837" w:rsidR="002A0AFB" w:rsidRPr="00F513DC" w:rsidRDefault="002A0AFB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  <w:vertAlign w:val="subscript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FF0000"/>
                      <w:shd w:val="clear" w:color="auto" w:fill="FFFFFF"/>
                    </w:rPr>
                    <w:t xml:space="preserve">Low </w:t>
                  </w:r>
                  <w:r w:rsidRPr="00F513DC">
                    <w:rPr>
                      <w:rFonts w:cstheme="minorHAnsi"/>
                      <w:b/>
                      <w:iCs/>
                      <w:shd w:val="clear" w:color="auto" w:fill="FFFFFF"/>
                    </w:rPr>
                    <w:t xml:space="preserve">to </w:t>
                  </w:r>
                  <w:r w:rsidR="00E86DB3" w:rsidRPr="00F513DC">
                    <w:rPr>
                      <w:rFonts w:cstheme="minorHAnsi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F513DC">
                    <w:rPr>
                      <w:rFonts w:cstheme="minorHAnsi"/>
                      <w:b/>
                      <w:iCs/>
                      <w:color w:val="FF93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correlation </w:t>
                  </w:r>
                  <w:r w:rsidR="00F11E09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with </w:t>
                  </w:r>
                  <w:r w:rsidR="00E86DB3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Short Form 12 (SF-12):</w:t>
                  </w:r>
                </w:p>
                <w:p w14:paraId="5D67F280" w14:textId="61C37666" w:rsidR="00B21518" w:rsidRPr="00F513DC" w:rsidRDefault="00E86DB3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Physical Component</w:t>
                  </w:r>
                  <w:r w:rsidR="00F11E09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=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-0.32</w:t>
                  </w:r>
                  <w:r w:rsid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br/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Mental Component = -0.29</w:t>
                  </w:r>
                </w:p>
                <w:p w14:paraId="49E6B7C6" w14:textId="4933C5B5" w:rsidR="008C6BB1" w:rsidRPr="00F513DC" w:rsidRDefault="008C6BB1" w:rsidP="00F513DC">
                  <w:pPr>
                    <w:pStyle w:val="Subttulo"/>
                    <w:spacing w:before="40" w:after="40"/>
                    <w:rPr>
                      <w:rFonts w:cstheme="minorHAnsi"/>
                      <w:iCs/>
                    </w:rPr>
                  </w:pPr>
                  <w:r w:rsidRPr="00F513DC">
                    <w:rPr>
                      <w:rFonts w:cstheme="minorHAnsi"/>
                      <w:iCs/>
                    </w:rPr>
                    <w:t xml:space="preserve">(Persian Qualiveen-30; </w:t>
                  </w:r>
                  <w:proofErr w:type="spellStart"/>
                  <w:r w:rsidRPr="00F513DC">
                    <w:rPr>
                      <w:rFonts w:cstheme="minorHAnsi"/>
                      <w:iCs/>
                    </w:rPr>
                    <w:t>Nikfallah</w:t>
                  </w:r>
                  <w:proofErr w:type="spellEnd"/>
                  <w:r w:rsidRPr="00F513DC">
                    <w:rPr>
                      <w:rFonts w:cstheme="minorHAnsi"/>
                      <w:iCs/>
                    </w:rPr>
                    <w:t xml:space="preserve"> et al. 2015; N=154</w:t>
                  </w:r>
                  <w:r w:rsidR="00A53E2B" w:rsidRPr="00F513DC">
                    <w:rPr>
                      <w:rFonts w:cstheme="minorHAnsi"/>
                      <w:iCs/>
                    </w:rPr>
                    <w:t>;</w:t>
                  </w:r>
                  <w:r w:rsidRPr="00F513DC">
                    <w:rPr>
                      <w:rFonts w:cstheme="minorHAnsi"/>
                      <w:iCs/>
                    </w:rPr>
                    <w:t xml:space="preserve"> 89 male</w:t>
                  </w:r>
                  <w:r w:rsidR="00A53E2B" w:rsidRPr="00F513DC">
                    <w:rPr>
                      <w:rFonts w:cstheme="minorHAnsi"/>
                      <w:iCs/>
                    </w:rPr>
                    <w:t>s;</w:t>
                  </w:r>
                  <w:r w:rsidRPr="00F513DC">
                    <w:rPr>
                      <w:rFonts w:cstheme="minorHAnsi"/>
                      <w:iCs/>
                    </w:rPr>
                    <w:t xml:space="preserve"> 80 SCI, 74 </w:t>
                  </w:r>
                  <w:r w:rsidR="00A53E2B" w:rsidRPr="00F513DC">
                    <w:rPr>
                      <w:rFonts w:cstheme="minorHAnsi"/>
                      <w:iCs/>
                    </w:rPr>
                    <w:t>multiple sclerosis;</w:t>
                  </w:r>
                  <w:r w:rsidRPr="00F513DC">
                    <w:rPr>
                      <w:rFonts w:cstheme="minorHAnsi"/>
                      <w:iCs/>
                    </w:rPr>
                    <w:t xml:space="preserve"> outpatient)</w:t>
                  </w:r>
                </w:p>
                <w:p w14:paraId="70928FD9" w14:textId="77777777" w:rsidR="00AE3993" w:rsidRPr="00F513DC" w:rsidRDefault="00AE3993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</w:pPr>
                </w:p>
                <w:p w14:paraId="057A4F6B" w14:textId="43753D59" w:rsidR="007A1F78" w:rsidRPr="00F513DC" w:rsidRDefault="007A1F78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Correlation with </w:t>
                  </w:r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the </w:t>
                  </w:r>
                  <w:proofErr w:type="spellStart"/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Urinari</w:t>
                  </w:r>
                  <w:proofErr w:type="spellEnd"/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 Distress </w:t>
                  </w:r>
                  <w:proofErr w:type="spellStart"/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Inventoy</w:t>
                  </w:r>
                  <w:proofErr w:type="spellEnd"/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, short form (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UDI-6</w:t>
                  </w:r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)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:</w:t>
                  </w:r>
                </w:p>
                <w:p w14:paraId="6C0900A6" w14:textId="22A21919" w:rsidR="007A1F78" w:rsidRPr="00F513DC" w:rsidRDefault="007A1F78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r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0.632, 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p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&lt;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0.001</w:t>
                  </w:r>
                </w:p>
                <w:p w14:paraId="0EB252DF" w14:textId="439F6CCF" w:rsidR="007A1F78" w:rsidRPr="00F513DC" w:rsidRDefault="007A1F78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Dutch SF-</w:t>
                  </w:r>
                  <w:proofErr w:type="spellStart"/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Reuvers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2017; N=57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37 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m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ale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s; m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ean 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(SD)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age: 53.2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(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14.6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years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ASIA: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23A, 5B, 7C, 20D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injury level: cervical-lumbar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6862EC5B" w14:textId="77777777" w:rsidR="00F513DC" w:rsidRPr="00F513DC" w:rsidRDefault="00F513DC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13E1B252" w14:textId="3FA99917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Correlation with QoL item of </w:t>
                  </w:r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the Neurogenic Bladder Symptom Score, short form (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NBSS-SF</w:t>
                  </w:r>
                  <w:r w:rsidR="00A53E2B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)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:</w:t>
                  </w:r>
                </w:p>
                <w:p w14:paraId="5482A5B1" w14:textId="3450A2D4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r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="00A53E2B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0.82, p = 0.003</w:t>
                  </w:r>
                </w:p>
                <w:p w14:paraId="60B7A2F1" w14:textId="7FF2EFF5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7DE68BED" w14:textId="7C93FDDD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FF9300"/>
                      <w:shd w:val="clear" w:color="auto" w:fill="FFFFFF"/>
                    </w:rPr>
                    <w:t xml:space="preserve">Moderate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Correlation with overall scores on the NBSS-SF</w:t>
                  </w:r>
                  <w:r w:rsidR="00C55942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:</w:t>
                  </w:r>
                </w:p>
                <w:p w14:paraId="25EC863D" w14:textId="21E5E416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r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0.53, p = 0.02</w:t>
                  </w:r>
                </w:p>
                <w:p w14:paraId="711A5AA9" w14:textId="076993C8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Arabic SF-</w:t>
                  </w:r>
                  <w:proofErr w:type="spellStart"/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Khadour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2024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N=108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77 males, 31 females; mean (SD) age: 39.54 (11.34) years;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ASIA: 20A, 54B, 34C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injury level: cervical-lumbar; chronic SCI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4A3950E8" w14:textId="0B6BDEC9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2696664C" w14:textId="1BF9A6E8" w:rsidR="007D478B" w:rsidRPr="00F513DC" w:rsidRDefault="007D478B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Correlation with QoL of </w:t>
                  </w:r>
                  <w:r w:rsidR="00C174DA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the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NBSS-SF</w:t>
                  </w:r>
                  <w:r w:rsidR="00C55942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:</w:t>
                  </w:r>
                </w:p>
                <w:p w14:paraId="03820874" w14:textId="28AC0B3D" w:rsidR="00AE3993" w:rsidRPr="00F513DC" w:rsidRDefault="007D478B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r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0.72, 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p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&lt;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0.001</w:t>
                  </w:r>
                </w:p>
                <w:p w14:paraId="01F24823" w14:textId="0A923B1F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Arabic </w:t>
                  </w:r>
                  <w:r w:rsidR="0018012D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NBSS-SF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Khadour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2023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N=136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97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SCI, 39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multiple sclerosis;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ASIA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: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18A, 49B, 30C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injury level: cervical-lumbar/sacral; mean time since injury: 29.7 months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349D6617" w14:textId="6FDBB35E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1C0BAB91" w14:textId="7A07C37A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Correlation with question 2 of </w:t>
                  </w:r>
                  <w:r w:rsidR="00C174DA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the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NBSS-SF:</w:t>
                  </w:r>
                </w:p>
                <w:p w14:paraId="235BDD27" w14:textId="3B6B9125" w:rsidR="00AE3993" w:rsidRPr="00F513DC" w:rsidRDefault="00C55942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r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0.71, p = 0.00</w:t>
                  </w:r>
                  <w:r w:rsid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1</w:t>
                  </w:r>
                </w:p>
                <w:p w14:paraId="5C10DFD0" w14:textId="3DA60985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Arabic </w:t>
                  </w:r>
                  <w:r w:rsidR="0018012D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NBSS-SF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Khadour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2023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N=101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73 males, 28 females;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ASIA 19A, 51B, 31C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injury level: cervical-lumbar/sacral; mean time since injury: 30.4 months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5A7D1F4C" w14:textId="0A437C2E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3D594D7C" w14:textId="393B0517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Criterion validity for the overall score: </w:t>
                  </w:r>
                </w:p>
                <w:p w14:paraId="59FF9739" w14:textId="79E91F96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0.91 and 0.93</w:t>
                  </w:r>
                </w:p>
                <w:p w14:paraId="27E4BD05" w14:textId="611370D4" w:rsidR="00C55942" w:rsidRPr="00F513DC" w:rsidRDefault="00C55942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41DC6D0D" w14:textId="309369E4" w:rsidR="002169D3" w:rsidRPr="00F513DC" w:rsidRDefault="002169D3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FF9300"/>
                      <w:shd w:val="clear" w:color="auto" w:fill="FFFFFF"/>
                    </w:rPr>
                    <w:t xml:space="preserve">Moderate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to </w:t>
                  </w:r>
                  <w:r w:rsidRPr="00F513DC"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Cross-sectional construct validity</w:t>
                  </w:r>
                  <w:r w:rsidR="00C174DA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: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2CAA8EA3" w14:textId="44DFA845" w:rsidR="00AE3993" w:rsidRPr="00F513DC" w:rsidRDefault="002169D3" w:rsidP="00F513DC">
                  <w:pPr>
                    <w:spacing w:before="40" w:after="40"/>
                    <w:rPr>
                      <w:rFonts w:cstheme="minorHAnsi"/>
                      <w:bCs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Cs/>
                      <w:iCs/>
                      <w:color w:val="000000"/>
                      <w:shd w:val="clear" w:color="auto" w:fill="FFFFFF"/>
                    </w:rPr>
                    <w:t>0.60-0.97</w:t>
                  </w:r>
                </w:p>
                <w:p w14:paraId="5A8D03E6" w14:textId="3B43BC16" w:rsidR="002169D3" w:rsidRPr="00F513DC" w:rsidRDefault="002169D3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German SF-</w:t>
                  </w:r>
                  <w:proofErr w:type="spellStart"/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Krebs et al. 2021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N=50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35 males, 15 females; mean age: 53 years; injury level: cervical-lumbar/sacral; 28 motor complete, 22 motor incomplete; chronic SCI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7E50221C" w14:textId="633992F7" w:rsidR="00B35A39" w:rsidRPr="00F513DC" w:rsidRDefault="00B35A3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2FC14104" w14:textId="6FCE2DDE" w:rsidR="00B35A39" w:rsidRPr="00F513DC" w:rsidRDefault="00B35A39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Correlation with the</w:t>
                  </w:r>
                  <w:r w:rsidR="00C174DA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 International Consultation</w:t>
                  </w:r>
                  <w:r w:rsidR="009C4631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 on Incontinence-Short Form (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ICIQ-SF</w:t>
                  </w:r>
                  <w:r w:rsidR="009C4631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):</w:t>
                  </w:r>
                </w:p>
                <w:p w14:paraId="328ADA67" w14:textId="01E07FAF" w:rsidR="007F19AA" w:rsidRPr="00F513DC" w:rsidRDefault="007F19AA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r </w:t>
                  </w:r>
                  <w:r w:rsidR="00B35A39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="00B35A39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0.693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and </w:t>
                  </w:r>
                  <w:r w:rsidR="00B35A39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p &lt; 0.001</w:t>
                  </w:r>
                  <w:r w:rsid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br/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  <w:lang w:val="en-US"/>
                    </w:rPr>
                    <w:t>r = 0.611 and P &lt; 0.001</w:t>
                  </w:r>
                </w:p>
                <w:p w14:paraId="68462084" w14:textId="18AFD4EB" w:rsidR="00B35A39" w:rsidRPr="00F513DC" w:rsidRDefault="00B35A3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>(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Polish SF-</w:t>
                  </w:r>
                  <w:proofErr w:type="spellStart"/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Prz</w:t>
                  </w:r>
                  <w:r w:rsidR="00870CDF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ydacz</w:t>
                  </w:r>
                  <w:proofErr w:type="spellEnd"/>
                  <w:r w:rsidR="00870CDF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2021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="00870CDF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</w:t>
                  </w:r>
                  <w:r w:rsidR="00C174DA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=126; 87 males, 39 females; median time since injury: 10 years: ASIA: 55A, 6B, 16C,49D; injury level: cervical-lumbar</w:t>
                  </w:r>
                  <w:r w:rsidR="00870CDF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69F42358" w14:textId="55FCE512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5631F57B" w14:textId="14A2CA7A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FF9300"/>
                      <w:shd w:val="clear" w:color="auto" w:fill="FFFFFF"/>
                    </w:rPr>
                    <w:t xml:space="preserve">Moderate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Correlation with </w:t>
                  </w:r>
                  <w:r w:rsidR="001F41F9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the </w:t>
                  </w:r>
                  <w:r w:rsidR="00F513DC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Spanish version of the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NBSS:</w:t>
                  </w:r>
                </w:p>
                <w:p w14:paraId="61ECD847" w14:textId="1E5D7505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r</w:t>
                  </w:r>
                  <w:r w:rsidR="001F41F9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="001F41F9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0.57, p &lt; 0.0001</w:t>
                  </w:r>
                </w:p>
                <w:p w14:paraId="425B16C5" w14:textId="44CEDD1D" w:rsidR="002169D3" w:rsidRPr="00F513DC" w:rsidRDefault="009E4D8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(Moreno-Palacios et al. 2021</w:t>
                  </w:r>
                  <w:r w:rsidR="001F41F9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N=82</w:t>
                  </w:r>
                  <w:r w:rsidR="001F41F9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multiple sclerosis,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N=29 SCI, N=31 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o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thers; 37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males, 45 females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3E79AC29" w14:textId="5CCE703E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1451CDCB" w14:textId="0703C1DB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b/>
                      <w:iCs/>
                      <w:color w:val="FF9300"/>
                      <w:shd w:val="clear" w:color="auto" w:fill="FFFFFF"/>
                    </w:rPr>
                    <w:t xml:space="preserve">Moderate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Correlation with </w:t>
                  </w:r>
                  <w:r w:rsidR="00F513DC"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 xml:space="preserve">the Brazilian Portuguese version of the </w:t>
                  </w:r>
                  <w:r w:rsidRPr="00F513DC">
                    <w:rPr>
                      <w:rFonts w:cstheme="minorHAnsi"/>
                      <w:b/>
                      <w:iCs/>
                      <w:color w:val="000000"/>
                      <w:shd w:val="clear" w:color="auto" w:fill="FFFFFF"/>
                    </w:rPr>
                    <w:t>NBSS:</w:t>
                  </w:r>
                </w:p>
                <w:p w14:paraId="2150A4F6" w14:textId="3630AE53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r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=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0.66 (range: 0.40-0.82), p &lt; 0.0001</w:t>
                  </w:r>
                </w:p>
                <w:p w14:paraId="2DD53E65" w14:textId="0F626831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(Cintra et al. 2019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N=66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SCI, N=1 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multiple sclerosis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, N=1 not specified, 57</w:t>
                  </w:r>
                  <w:r w:rsidR="00F513DC"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males, 11 females; ASIA: 42A, 22B-E</w:t>
                  </w: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  <w:p w14:paraId="6191FD5F" w14:textId="77777777" w:rsidR="009E4D89" w:rsidRPr="00F513DC" w:rsidRDefault="009E4D89" w:rsidP="00F513DC">
                  <w:pPr>
                    <w:spacing w:before="40" w:after="40"/>
                    <w:rPr>
                      <w:rFonts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  <w:p w14:paraId="3EDEF306" w14:textId="77777777" w:rsidR="00F513DC" w:rsidRPr="00F513DC" w:rsidRDefault="00F513DC" w:rsidP="00F513DC">
                  <w:pPr>
                    <w:spacing w:before="40" w:after="40"/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</w:pPr>
                </w:p>
                <w:p w14:paraId="36563FF7" w14:textId="4D43D8BF" w:rsidR="006015FA" w:rsidRPr="002A0AFB" w:rsidRDefault="002A0AFB" w:rsidP="00F513DC">
                  <w:pPr>
                    <w:spacing w:before="40" w:after="40"/>
                    <w:rPr>
                      <w:rFonts w:cs="Arial"/>
                      <w:b/>
                      <w:color w:val="FFFFFF" w:themeColor="background1"/>
                    </w:rPr>
                  </w:pPr>
                  <w:r w:rsidRPr="00F513DC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Number of studies reporting validity data: </w:t>
                  </w:r>
                  <w:r w:rsidR="009E4D89" w:rsidRPr="00F513DC">
                    <w:rPr>
                      <w:rFonts w:cstheme="minorHAnsi"/>
                      <w:color w:val="000000"/>
                      <w:shd w:val="clear" w:color="auto" w:fill="FFFFFF"/>
                    </w:rPr>
                    <w:t>11</w:t>
                  </w:r>
                </w:p>
              </w:tc>
            </w:tr>
          </w:tbl>
          <w:p w14:paraId="3651C05D" w14:textId="77777777" w:rsidR="006015FA" w:rsidRPr="002A0AFB" w:rsidRDefault="006015FA" w:rsidP="00315B57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1281D6F7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lastRenderedPageBreak/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</w:t>
            </w:r>
            <w:r w:rsidR="00546D9A">
              <w:rPr>
                <w:rFonts w:cs="Arial"/>
                <w:b/>
                <w:color w:val="F0A40C"/>
                <w:sz w:val="26"/>
                <w:szCs w:val="26"/>
                <w:shd w:val="clear" w:color="auto" w:fill="FFFFFF"/>
              </w:rPr>
              <w:t xml:space="preserve"> </w:t>
            </w:r>
            <w:r w:rsidR="00105440" w:rsidRPr="00A53E2B">
              <w:rPr>
                <w:rFonts w:cs="Arial"/>
                <w:b/>
                <w:color w:val="FF9300"/>
                <w:sz w:val="26"/>
                <w:szCs w:val="26"/>
                <w:shd w:val="clear" w:color="auto" w:fill="FFFFFF"/>
              </w:rPr>
              <w:t>Moderate</w:t>
            </w:r>
            <w:r w:rsidR="00105440">
              <w:rPr>
                <w:rFonts w:cs="Arial"/>
                <w:b/>
                <w:color w:val="F0A40C"/>
                <w:sz w:val="26"/>
                <w:szCs w:val="26"/>
                <w:shd w:val="clear" w:color="auto" w:fill="FFFFFF"/>
              </w:rPr>
              <w:t xml:space="preserve"> </w:t>
            </w:r>
            <w:r w:rsidR="00105440" w:rsidRPr="00105440">
              <w:rPr>
                <w:rFonts w:cs="Arial"/>
                <w:sz w:val="26"/>
                <w:szCs w:val="26"/>
                <w:shd w:val="clear" w:color="auto" w:fill="FFFFFF"/>
              </w:rPr>
              <w:t>to</w:t>
            </w:r>
            <w:r w:rsidR="00105440">
              <w:rPr>
                <w:rFonts w:cs="Arial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201CFB" w:rsidRPr="0010544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6E952A5E" w14:textId="40E0737C" w:rsidR="002A0AFB" w:rsidRPr="00A53E2B" w:rsidRDefault="002A0AFB" w:rsidP="000A58D6">
                  <w:pPr>
                    <w:spacing w:before="40" w:after="4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A53E2B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A53E2B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Test-retest Reliability</w:t>
                  </w:r>
                  <w:r w:rsidR="00546D9A" w:rsidRPr="00A53E2B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(3-week interval)</w:t>
                  </w:r>
                  <w:r w:rsidRPr="00A53E2B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>:</w:t>
                  </w:r>
                </w:p>
                <w:p w14:paraId="5D710505" w14:textId="034FEFDF" w:rsidR="00B21518" w:rsidRPr="00F513DC" w:rsidRDefault="00546D9A" w:rsidP="000A58D6">
                  <w:pPr>
                    <w:spacing w:before="40" w:after="40"/>
                    <w:rPr>
                      <w:rFonts w:cs="Arial"/>
                      <w:iCs/>
                      <w:color w:val="000000"/>
                      <w:shd w:val="clear" w:color="auto" w:fill="FFFFFF"/>
                      <w:lang w:val="en-US"/>
                    </w:rPr>
                  </w:pPr>
                  <w:r w:rsidRPr="00A53E2B">
                    <w:rPr>
                      <w:rFonts w:cs="Arial"/>
                      <w:iCs/>
                      <w:color w:val="000000"/>
                      <w:shd w:val="clear" w:color="auto" w:fill="FFFFFF"/>
                      <w:lang w:val="en-US"/>
                    </w:rPr>
                    <w:t xml:space="preserve">ICC = </w:t>
                  </w:r>
                  <w:r w:rsidRPr="00A53E2B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 xml:space="preserve">0.97 </w:t>
                  </w:r>
                  <w:r w:rsidR="002A0AFB" w:rsidRPr="00A53E2B">
                    <w:rPr>
                      <w:rFonts w:cs="Arial"/>
                      <w:iCs/>
                      <w:color w:val="000000"/>
                      <w:shd w:val="clear" w:color="auto" w:fill="FFFFFF"/>
                      <w:lang w:val="en-US"/>
                    </w:rPr>
                    <w:t xml:space="preserve"> </w:t>
                  </w:r>
                </w:p>
                <w:p w14:paraId="097AEEC9" w14:textId="77777777" w:rsidR="00D07B2D" w:rsidRPr="00F513DC" w:rsidRDefault="00D07B2D" w:rsidP="000A58D6">
                  <w:pPr>
                    <w:pStyle w:val="Subttulo"/>
                    <w:spacing w:before="40" w:after="40"/>
                    <w:rPr>
                      <w:rFonts w:cstheme="minorHAnsi"/>
                      <w:iCs/>
                    </w:rPr>
                  </w:pPr>
                  <w:r w:rsidRPr="00F513DC">
                    <w:rPr>
                      <w:rFonts w:cstheme="minorHAnsi"/>
                      <w:iCs/>
                    </w:rPr>
                    <w:t xml:space="preserve">(Persian Qualiveen-30; </w:t>
                  </w:r>
                  <w:proofErr w:type="spellStart"/>
                  <w:r w:rsidRPr="00F513DC">
                    <w:rPr>
                      <w:rFonts w:cstheme="minorHAnsi"/>
                      <w:iCs/>
                    </w:rPr>
                    <w:t>Nikfallah</w:t>
                  </w:r>
                  <w:proofErr w:type="spellEnd"/>
                  <w:r w:rsidRPr="00F513DC">
                    <w:rPr>
                      <w:rFonts w:cstheme="minorHAnsi"/>
                      <w:iCs/>
                    </w:rPr>
                    <w:t xml:space="preserve"> et al. 2015; N=154; 89 males; 80 SCI, 74 multiple sclerosis; outpatient)</w:t>
                  </w:r>
                </w:p>
                <w:p w14:paraId="08DDD799" w14:textId="77777777" w:rsidR="00F513DC" w:rsidRDefault="00F513DC" w:rsidP="000A58D6">
                  <w:pPr>
                    <w:spacing w:before="40" w:after="40"/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</w:pPr>
                </w:p>
                <w:p w14:paraId="3AD7A43B" w14:textId="77777777" w:rsidR="00D07B2D" w:rsidRPr="00A53E2B" w:rsidRDefault="00D07B2D" w:rsidP="000A58D6">
                  <w:pPr>
                    <w:spacing w:before="40" w:after="4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A53E2B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A53E2B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Test-retest Reliability:</w:t>
                  </w:r>
                </w:p>
                <w:p w14:paraId="6B6939B5" w14:textId="7BD9013F" w:rsidR="00D07B2D" w:rsidRPr="002328FF" w:rsidRDefault="00D07B2D" w:rsidP="000A58D6">
                  <w:pPr>
                    <w:spacing w:before="40" w:after="40"/>
                    <w:rPr>
                      <w:rFonts w:cs="Arial"/>
                      <w:iCs/>
                      <w:color w:val="000000"/>
                      <w:shd w:val="clear" w:color="auto" w:fill="FFFFFF"/>
                      <w:lang w:val="en-US"/>
                    </w:rPr>
                  </w:pPr>
                  <w:r w:rsidRPr="00D07B2D">
                    <w:rPr>
                      <w:rFonts w:cs="Arial"/>
                      <w:iCs/>
                      <w:color w:val="000000"/>
                      <w:shd w:val="clear" w:color="auto" w:fill="FFFFFF"/>
                      <w:lang w:val="en-US"/>
                    </w:rPr>
                    <w:t>ICC = 0.91-0.94</w:t>
                  </w:r>
                </w:p>
                <w:p w14:paraId="3ED7B87C" w14:textId="77777777" w:rsidR="00D07B2D" w:rsidRPr="00F513DC" w:rsidRDefault="00D07B2D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(German SF-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Krebs et al. 2021; N=50; 35 males, 15 females; mean age: 53 years; injury level: cervical-lumbar/sacral; 28 motor complete, 22 motor incomplete; chronic SCI)</w:t>
                  </w:r>
                </w:p>
                <w:p w14:paraId="645FE4C4" w14:textId="77777777" w:rsidR="000A58D6" w:rsidRDefault="000A58D6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(Dutch SF-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Reuvers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2017; N=57; 37 males; mean (SD) age: 53.2 (14.6) years; ASIA: 23A, 5B, 7C, 20D; injury level: cervical-lumbar)</w:t>
                  </w:r>
                </w:p>
                <w:p w14:paraId="783F0536" w14:textId="77777777" w:rsidR="000A58D6" w:rsidRPr="000A58D6" w:rsidRDefault="000A58D6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</w:p>
                <w:p w14:paraId="3723E7CE" w14:textId="4DD82638" w:rsidR="00F47C14" w:rsidRPr="000A58D6" w:rsidRDefault="00F47C14" w:rsidP="000A58D6">
                  <w:pPr>
                    <w:spacing w:before="40" w:after="40"/>
                    <w:rPr>
                      <w:rFonts w:cstheme="minorHAnsi"/>
                      <w:b/>
                      <w:bCs/>
                      <w:iCs/>
                      <w:color w:val="000000"/>
                      <w:shd w:val="clear" w:color="auto" w:fill="FFFFFF"/>
                    </w:rPr>
                  </w:pPr>
                  <w:r w:rsidRPr="000A58D6">
                    <w:rPr>
                      <w:rFonts w:cstheme="minorHAnsi"/>
                      <w:b/>
                      <w:bCs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0A58D6">
                    <w:rPr>
                      <w:rFonts w:cstheme="minorHAnsi"/>
                      <w:b/>
                      <w:bCs/>
                      <w:iCs/>
                      <w:color w:val="000000"/>
                      <w:shd w:val="clear" w:color="auto" w:fill="FFFFFF"/>
                    </w:rPr>
                    <w:t xml:space="preserve"> to </w:t>
                  </w:r>
                  <w:r w:rsidRPr="000A58D6">
                    <w:rPr>
                      <w:rFonts w:cstheme="minorHAnsi"/>
                      <w:b/>
                      <w:bCs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0A58D6">
                    <w:rPr>
                      <w:rFonts w:cstheme="minorHAnsi"/>
                      <w:b/>
                      <w:bCs/>
                      <w:iCs/>
                      <w:color w:val="000000"/>
                      <w:shd w:val="clear" w:color="auto" w:fill="FFFFFF"/>
                    </w:rPr>
                    <w:t xml:space="preserve"> Test-retest Reliability:</w:t>
                  </w:r>
                </w:p>
                <w:p w14:paraId="14538D4B" w14:textId="540712BA" w:rsidR="00F47C14" w:rsidRPr="000A58D6" w:rsidRDefault="00F47C14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</w:pPr>
                  <w:r w:rsidRPr="000A58D6">
                    <w:rPr>
                      <w:rFonts w:cstheme="minorHAnsi"/>
                      <w:iCs/>
                      <w:color w:val="000000"/>
                      <w:shd w:val="clear" w:color="auto" w:fill="FFFFFF"/>
                    </w:rPr>
                    <w:t>ICC = 0.62-0.86</w:t>
                  </w:r>
                </w:p>
                <w:p w14:paraId="38726E5F" w14:textId="24B7E4C6" w:rsidR="00F47C14" w:rsidRPr="000A58D6" w:rsidRDefault="00F47C14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  <w:r w:rsidRPr="00F47C14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>(</w:t>
                  </w:r>
                  <w:proofErr w:type="spellStart"/>
                  <w:r w:rsidRPr="00F47C14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>D’Ancona</w:t>
                  </w:r>
                  <w:proofErr w:type="spellEnd"/>
                  <w:r w:rsidRPr="00F47C14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et al. 2009; N=51;</w:t>
                  </w:r>
                  <w:r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N=33 SCI;</w:t>
                  </w:r>
                  <w:r w:rsidRPr="00F47C14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40 males, 11 females; mean age: 36.33 years</w:t>
                  </w:r>
                  <w:r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  <w:lang w:val="en-US"/>
                    </w:rPr>
                    <w:t>)</w:t>
                  </w:r>
                </w:p>
                <w:p w14:paraId="121B42A0" w14:textId="77777777" w:rsidR="00D07B2D" w:rsidRPr="00F47C14" w:rsidRDefault="00D07B2D" w:rsidP="000A58D6">
                  <w:pPr>
                    <w:spacing w:before="40" w:after="40"/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  <w:lang w:val="en-US"/>
                    </w:rPr>
                  </w:pPr>
                </w:p>
                <w:p w14:paraId="166677FF" w14:textId="1B832B27" w:rsidR="002A0AFB" w:rsidRPr="00A53E2B" w:rsidRDefault="00546D9A" w:rsidP="000A58D6">
                  <w:pPr>
                    <w:spacing w:before="40" w:after="4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A53E2B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="006C2748" w:rsidRPr="00A53E2B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="002A0AFB" w:rsidRPr="00A53E2B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Internal Consistency: </w:t>
                  </w:r>
                </w:p>
                <w:p w14:paraId="08FDBA97" w14:textId="10EA5246" w:rsidR="00AE3993" w:rsidRPr="000A58D6" w:rsidRDefault="002A0AFB" w:rsidP="000A58D6">
                  <w:pPr>
                    <w:spacing w:before="40" w:after="40"/>
                    <w:rPr>
                      <w:rFonts w:cs="Arial"/>
                      <w:iCs/>
                      <w:color w:val="000000"/>
                      <w:shd w:val="clear" w:color="auto" w:fill="FFFFFF"/>
                      <w:lang w:val="en-US"/>
                    </w:rPr>
                  </w:pPr>
                  <w:r w:rsidRPr="00A53E2B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 xml:space="preserve">α = </w:t>
                  </w:r>
                  <w:r w:rsidR="00105440" w:rsidRPr="00A53E2B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0.7</w:t>
                  </w:r>
                  <w:r w:rsidR="000A58D6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0</w:t>
                  </w:r>
                  <w:r w:rsidR="00105440" w:rsidRPr="00A53E2B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-</w:t>
                  </w:r>
                  <w:r w:rsidR="00546D9A" w:rsidRPr="00A53E2B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0.95</w:t>
                  </w:r>
                </w:p>
                <w:p w14:paraId="7B27BBAC" w14:textId="77777777" w:rsidR="00F513DC" w:rsidRPr="00F513DC" w:rsidRDefault="00F513DC" w:rsidP="000A58D6">
                  <w:pPr>
                    <w:pStyle w:val="Subttulo"/>
                    <w:spacing w:before="40" w:after="40"/>
                    <w:rPr>
                      <w:rFonts w:cstheme="minorHAnsi"/>
                      <w:iCs/>
                    </w:rPr>
                  </w:pPr>
                  <w:r w:rsidRPr="00F513DC">
                    <w:rPr>
                      <w:rFonts w:cstheme="minorHAnsi"/>
                      <w:iCs/>
                    </w:rPr>
                    <w:t xml:space="preserve">(Persian Qualiveen-30; </w:t>
                  </w:r>
                  <w:proofErr w:type="spellStart"/>
                  <w:r w:rsidRPr="00F513DC">
                    <w:rPr>
                      <w:rFonts w:cstheme="minorHAnsi"/>
                      <w:iCs/>
                    </w:rPr>
                    <w:t>Nikfallah</w:t>
                  </w:r>
                  <w:proofErr w:type="spellEnd"/>
                  <w:r w:rsidRPr="00F513DC">
                    <w:rPr>
                      <w:rFonts w:cstheme="minorHAnsi"/>
                      <w:iCs/>
                    </w:rPr>
                    <w:t xml:space="preserve"> et al. 2015; N=154; 89 males; 80 SCI, 74 multiple sclerosis; outpatient)</w:t>
                  </w:r>
                </w:p>
                <w:p w14:paraId="07F9C93A" w14:textId="77777777" w:rsidR="000A58D6" w:rsidRDefault="00105440" w:rsidP="000A58D6">
                  <w:pPr>
                    <w:spacing w:before="40" w:after="40"/>
                    <w:rPr>
                      <w:iCs/>
                      <w:sz w:val="16"/>
                      <w:szCs w:val="16"/>
                    </w:rPr>
                  </w:pPr>
                  <w:r w:rsidRPr="00A53E2B">
                    <w:rPr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A53E2B">
                    <w:rPr>
                      <w:iCs/>
                      <w:sz w:val="16"/>
                      <w:szCs w:val="16"/>
                    </w:rPr>
                    <w:t>D’Ancona</w:t>
                  </w:r>
                  <w:proofErr w:type="spellEnd"/>
                  <w:r w:rsidRPr="00A53E2B">
                    <w:rPr>
                      <w:iCs/>
                      <w:sz w:val="16"/>
                      <w:szCs w:val="16"/>
                    </w:rPr>
                    <w:t xml:space="preserve"> et al. 2001; N=51</w:t>
                  </w:r>
                  <w:r w:rsidR="00F513DC">
                    <w:rPr>
                      <w:iCs/>
                      <w:sz w:val="16"/>
                      <w:szCs w:val="16"/>
                    </w:rPr>
                    <w:t>;</w:t>
                  </w:r>
                  <w:r w:rsidRPr="00A53E2B">
                    <w:rPr>
                      <w:iCs/>
                      <w:sz w:val="16"/>
                      <w:szCs w:val="16"/>
                    </w:rPr>
                    <w:t xml:space="preserve"> 33 SCI</w:t>
                  </w:r>
                  <w:r w:rsidR="00F513DC">
                    <w:rPr>
                      <w:iCs/>
                      <w:sz w:val="16"/>
                      <w:szCs w:val="16"/>
                    </w:rPr>
                    <w:t>;</w:t>
                  </w:r>
                  <w:r w:rsidRPr="00A53E2B">
                    <w:rPr>
                      <w:iCs/>
                      <w:sz w:val="16"/>
                      <w:szCs w:val="16"/>
                    </w:rPr>
                    <w:t xml:space="preserve"> 40 </w:t>
                  </w:r>
                  <w:r w:rsidR="00F513DC">
                    <w:rPr>
                      <w:iCs/>
                      <w:sz w:val="16"/>
                      <w:szCs w:val="16"/>
                    </w:rPr>
                    <w:t>males; m</w:t>
                  </w:r>
                  <w:r w:rsidRPr="00A53E2B">
                    <w:rPr>
                      <w:iCs/>
                      <w:sz w:val="16"/>
                      <w:szCs w:val="16"/>
                    </w:rPr>
                    <w:t xml:space="preserve">ean </w:t>
                  </w:r>
                  <w:r w:rsidR="00F513DC">
                    <w:rPr>
                      <w:iCs/>
                      <w:sz w:val="16"/>
                      <w:szCs w:val="16"/>
                    </w:rPr>
                    <w:t xml:space="preserve">(SD) </w:t>
                  </w:r>
                  <w:r w:rsidRPr="00A53E2B">
                    <w:rPr>
                      <w:iCs/>
                      <w:sz w:val="16"/>
                      <w:szCs w:val="16"/>
                    </w:rPr>
                    <w:t xml:space="preserve">age: 36.33 </w:t>
                  </w:r>
                  <w:r w:rsidR="00F513DC">
                    <w:rPr>
                      <w:iCs/>
                      <w:sz w:val="16"/>
                      <w:szCs w:val="16"/>
                    </w:rPr>
                    <w:t>(</w:t>
                  </w:r>
                  <w:r w:rsidRPr="00A53E2B">
                    <w:rPr>
                      <w:iCs/>
                      <w:sz w:val="16"/>
                      <w:szCs w:val="16"/>
                    </w:rPr>
                    <w:t>12.2</w:t>
                  </w:r>
                  <w:r w:rsidR="00F513DC">
                    <w:rPr>
                      <w:iCs/>
                      <w:sz w:val="16"/>
                      <w:szCs w:val="16"/>
                    </w:rPr>
                    <w:t>)</w:t>
                  </w:r>
                  <w:r w:rsidRPr="00A53E2B">
                    <w:rPr>
                      <w:iCs/>
                      <w:sz w:val="16"/>
                      <w:szCs w:val="16"/>
                    </w:rPr>
                    <w:t xml:space="preserve"> years) </w:t>
                  </w:r>
                </w:p>
                <w:p w14:paraId="4C84756F" w14:textId="7E1F0B19" w:rsidR="000A58D6" w:rsidRPr="00F513DC" w:rsidRDefault="000A58D6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(Arabic SF-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Khadour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2024; N=108; 77 males, 31 females; mean (SD) age: 39.54 (11.34) years; ASIA: 20A, 54B, 34C; injury level: cervical-lumbar; chronic SCI)</w:t>
                  </w:r>
                </w:p>
                <w:p w14:paraId="455A7CAC" w14:textId="77777777" w:rsidR="000A58D6" w:rsidRPr="00A53E2B" w:rsidRDefault="000A58D6" w:rsidP="000A58D6">
                  <w:pPr>
                    <w:spacing w:before="40" w:after="40"/>
                    <w:rPr>
                      <w:rFonts w:cs="Arial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cs="Arial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(Greek SF-</w:t>
                  </w:r>
                  <w:proofErr w:type="spellStart"/>
                  <w:r>
                    <w:rPr>
                      <w:rFonts w:cs="Arial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>
                    <w:rPr>
                      <w:rFonts w:cs="Arial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N=124; N=71 SCI, N=53 multiple sclerosis; 55 paraplegia, 16 tetraplegia)</w:t>
                  </w:r>
                </w:p>
                <w:p w14:paraId="41342D53" w14:textId="77777777" w:rsidR="000A58D6" w:rsidRPr="00F513DC" w:rsidRDefault="000A58D6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(German SF-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; Krebs et al. 2021; N=50; 35 males, 15 females; mean age: 53 years; injury level: cervical-lumbar/sacral; 28 motor complete, 22 motor incomplete; chronic SCI)</w:t>
                  </w:r>
                </w:p>
                <w:p w14:paraId="7CED95CA" w14:textId="40807E37" w:rsidR="006015FA" w:rsidRPr="000A58D6" w:rsidRDefault="000A58D6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(Polish SF-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Przydacz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2021; N=126; 87 males, 39 females; median time since injury: 10 years: ASIA: 55A, 6B, 16C,49D; injury level: cervical-lumbar)</w:t>
                  </w:r>
                </w:p>
              </w:tc>
            </w:tr>
            <w:tr w:rsidR="007D478B" w:rsidRPr="002A0AFB" w14:paraId="119E2DC3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0BD296B3" w14:textId="77777777" w:rsidR="0064184E" w:rsidRPr="00A53E2B" w:rsidRDefault="0064184E" w:rsidP="000A58D6">
                  <w:pPr>
                    <w:spacing w:before="40" w:after="40"/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</w:pPr>
                  <w:r w:rsidRPr="00A53E2B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High </w:t>
                  </w:r>
                  <w:r w:rsidRPr="00A53E2B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Internal Consistency: </w:t>
                  </w:r>
                </w:p>
                <w:p w14:paraId="33366B09" w14:textId="39B24BE7" w:rsidR="00CD30F5" w:rsidRPr="00A53E2B" w:rsidRDefault="0064184E" w:rsidP="000A58D6">
                  <w:pPr>
                    <w:spacing w:before="40" w:after="40"/>
                    <w:rPr>
                      <w:rFonts w:cs="Arial"/>
                      <w:iCs/>
                      <w:color w:val="000000"/>
                      <w:shd w:val="clear" w:color="auto" w:fill="FFFFFF"/>
                    </w:rPr>
                  </w:pPr>
                  <w:r w:rsidRPr="00A53E2B">
                    <w:rPr>
                      <w:rFonts w:cs="Arial"/>
                      <w:iCs/>
                      <w:color w:val="000000"/>
                      <w:shd w:val="clear" w:color="auto" w:fill="FFFFFF"/>
                    </w:rPr>
                    <w:t>α = 0.89 (test) and 0.92 (re-test)</w:t>
                  </w:r>
                </w:p>
                <w:p w14:paraId="4590A5F0" w14:textId="77777777" w:rsidR="00F513DC" w:rsidRPr="00F513DC" w:rsidRDefault="00F513DC" w:rsidP="000A58D6">
                  <w:pPr>
                    <w:spacing w:before="40" w:after="40"/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(Dutch SF-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Qualiveen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; </w:t>
                  </w:r>
                  <w:proofErr w:type="spellStart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>Reuvers</w:t>
                  </w:r>
                  <w:proofErr w:type="spellEnd"/>
                  <w:r w:rsidRPr="00F513DC">
                    <w:rPr>
                      <w:rFonts w:cstheme="minorHAnsi"/>
                      <w:iCs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et al. 2017; N=57; 37 males; mean (SD) age: 53.2 (14.6) years; ASIA: 23A, 5B, 7C, 20D; injury level: cervical-lumbar)</w:t>
                  </w:r>
                </w:p>
                <w:p w14:paraId="1832D268" w14:textId="77777777" w:rsidR="00CD30F5" w:rsidRDefault="00CD30F5" w:rsidP="000A58D6">
                  <w:pPr>
                    <w:spacing w:before="40" w:after="40"/>
                    <w:rPr>
                      <w:rFonts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  <w:p w14:paraId="58A1BE2B" w14:textId="77777777" w:rsidR="009E4D89" w:rsidRPr="002169D3" w:rsidRDefault="009E4D89" w:rsidP="000A58D6">
                  <w:pPr>
                    <w:spacing w:before="40" w:after="40"/>
                    <w:rPr>
                      <w:rFonts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  <w:p w14:paraId="4382F282" w14:textId="67E5ECCB" w:rsidR="007D478B" w:rsidRPr="007D478B" w:rsidRDefault="007D478B" w:rsidP="000A58D6">
                  <w:pPr>
                    <w:spacing w:before="40" w:after="40"/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2A0AFB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385C8D">
                    <w:rPr>
                      <w:rFonts w:cs="Arial"/>
                      <w:color w:val="000000"/>
                      <w:shd w:val="clear" w:color="auto" w:fill="FFFFFF"/>
                    </w:rPr>
                    <w:t>7</w:t>
                  </w:r>
                </w:p>
              </w:tc>
            </w:tr>
          </w:tbl>
          <w:p w14:paraId="0F428A22" w14:textId="20056278" w:rsidR="006015FA" w:rsidRPr="007D478B" w:rsidRDefault="006015FA" w:rsidP="00315B57">
            <w:pPr>
              <w:rPr>
                <w:rFonts w:cs="Arial"/>
                <w:b/>
                <w:i/>
                <w:color w:val="00B050"/>
                <w:u w:val="single"/>
                <w:shd w:val="clear" w:color="auto" w:fill="FFFFFF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315B57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1372444E" w14:textId="77777777" w:rsidR="00E86DB3" w:rsidRPr="00E86DB3" w:rsidRDefault="00E86DB3" w:rsidP="000A58D6">
            <w:pPr>
              <w:spacing w:before="40" w:after="40"/>
              <w:rPr>
                <w:shd w:val="clear" w:color="auto" w:fill="FFFFFF"/>
              </w:rPr>
            </w:pPr>
            <w:r w:rsidRPr="00E86DB3">
              <w:rPr>
                <w:shd w:val="clear" w:color="auto" w:fill="FFFFFF"/>
              </w:rPr>
              <w:t>Total Score: 0% ceiling &amp; floor</w:t>
            </w:r>
          </w:p>
          <w:p w14:paraId="21B30ED3" w14:textId="6A4B994C" w:rsidR="00E86DB3" w:rsidRPr="00E86DB3" w:rsidRDefault="00E86DB3" w:rsidP="000A58D6">
            <w:pPr>
              <w:spacing w:before="40" w:after="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For 5 items: 0.7-10.5% floor &amp; 0.7-</w:t>
            </w:r>
            <w:r w:rsidRPr="00E86DB3">
              <w:rPr>
                <w:shd w:val="clear" w:color="auto" w:fill="FFFFFF"/>
              </w:rPr>
              <w:t>3.5% ceiling</w:t>
            </w:r>
          </w:p>
          <w:p w14:paraId="7E35334A" w14:textId="73665C07" w:rsidR="00E86DB3" w:rsidRDefault="00E86DB3" w:rsidP="000A58D6">
            <w:pPr>
              <w:pStyle w:val="Subttulo"/>
              <w:spacing w:before="40" w:after="40"/>
            </w:pPr>
            <w:r>
              <w:t>(</w:t>
            </w:r>
            <w:r w:rsidRPr="00546D9A">
              <w:t xml:space="preserve">Persian Qualiveen-30; </w:t>
            </w:r>
            <w:proofErr w:type="spellStart"/>
            <w:r w:rsidRPr="00546D9A">
              <w:t>Nikfallah</w:t>
            </w:r>
            <w:proofErr w:type="spellEnd"/>
            <w:r w:rsidRPr="00546D9A">
              <w:t xml:space="preserve"> et al., 2015; N=154, 89 male, 80 SCI, 74 MS</w:t>
            </w:r>
            <w:r w:rsidR="008C6BB1">
              <w:t>, outpatient, no information on injury types</w:t>
            </w:r>
            <w:r w:rsidRPr="00546D9A">
              <w:t>)</w:t>
            </w:r>
          </w:p>
          <w:p w14:paraId="4FF79CBC" w14:textId="77777777" w:rsidR="000A58D6" w:rsidRPr="000A58D6" w:rsidRDefault="000A58D6" w:rsidP="000A58D6">
            <w:pPr>
              <w:spacing w:before="40" w:after="40"/>
              <w:rPr>
                <w:rFonts w:cstheme="minorHAnsi"/>
                <w:lang w:val="en-US"/>
              </w:rPr>
            </w:pPr>
            <w:r w:rsidRPr="000A58D6">
              <w:rPr>
                <w:rFonts w:cstheme="minorHAnsi"/>
                <w:lang w:val="en-US"/>
              </w:rPr>
              <w:t>No floor or ceiling effects were identified</w:t>
            </w:r>
          </w:p>
          <w:p w14:paraId="7DD14931" w14:textId="60F1CEEA" w:rsidR="000A58D6" w:rsidRPr="00F513DC" w:rsidRDefault="000A58D6" w:rsidP="000A58D6">
            <w:pPr>
              <w:spacing w:before="40" w:after="40"/>
              <w:rPr>
                <w:rFonts w:cstheme="minorHAnsi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F513DC">
              <w:rPr>
                <w:rFonts w:cstheme="minorHAnsi"/>
                <w:iCs/>
                <w:color w:val="000000"/>
                <w:sz w:val="16"/>
                <w:szCs w:val="16"/>
                <w:shd w:val="clear" w:color="auto" w:fill="FFFFFF"/>
              </w:rPr>
              <w:t>(Polish SF-</w:t>
            </w:r>
            <w:proofErr w:type="spellStart"/>
            <w:r w:rsidRPr="00F513DC">
              <w:rPr>
                <w:rFonts w:cstheme="minorHAnsi"/>
                <w:iCs/>
                <w:color w:val="000000"/>
                <w:sz w:val="16"/>
                <w:szCs w:val="16"/>
                <w:shd w:val="clear" w:color="auto" w:fill="FFFFFF"/>
              </w:rPr>
              <w:t>Qualiveen</w:t>
            </w:r>
            <w:proofErr w:type="spellEnd"/>
            <w:r w:rsidRPr="00F513DC">
              <w:rPr>
                <w:rFonts w:cstheme="minorHAnsi"/>
                <w:iCs/>
                <w:color w:val="000000"/>
                <w:sz w:val="16"/>
                <w:szCs w:val="16"/>
                <w:shd w:val="clear" w:color="auto" w:fill="FFFFFF"/>
              </w:rPr>
              <w:t xml:space="preserve">; </w:t>
            </w:r>
            <w:proofErr w:type="spellStart"/>
            <w:r w:rsidRPr="00F513DC">
              <w:rPr>
                <w:rFonts w:cstheme="minorHAnsi"/>
                <w:iCs/>
                <w:color w:val="000000"/>
                <w:sz w:val="16"/>
                <w:szCs w:val="16"/>
                <w:shd w:val="clear" w:color="auto" w:fill="FFFFFF"/>
              </w:rPr>
              <w:t>Przydacz</w:t>
            </w:r>
            <w:proofErr w:type="spellEnd"/>
            <w:r w:rsidRPr="00F513DC">
              <w:rPr>
                <w:rFonts w:cstheme="minorHAnsi"/>
                <w:iCs/>
                <w:color w:val="000000"/>
                <w:sz w:val="16"/>
                <w:szCs w:val="16"/>
                <w:shd w:val="clear" w:color="auto" w:fill="FFFFFF"/>
              </w:rPr>
              <w:t xml:space="preserve"> et al. 2021; N=126; 87 males, 39 females; median time since injury: 10 years: ASIA: 55A, 6B, 16C,49D; injury level: cervical-lumbar)</w:t>
            </w:r>
          </w:p>
          <w:p w14:paraId="2029C758" w14:textId="77777777" w:rsidR="000A58D6" w:rsidRPr="000A58D6" w:rsidRDefault="000A58D6" w:rsidP="000A58D6"/>
          <w:p w14:paraId="38E5645E" w14:textId="53482C4F" w:rsidR="00CD30F5" w:rsidRDefault="00CD30F5" w:rsidP="00CD30F5"/>
          <w:p w14:paraId="496E380E" w14:textId="73B575BA" w:rsidR="006015FA" w:rsidRPr="006C2748" w:rsidRDefault="006015FA" w:rsidP="007227E7"/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5316D9B8" w:rsidR="006015FA" w:rsidRPr="002A0AFB" w:rsidRDefault="00963DB7" w:rsidP="00315B57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2A0AFB" w:rsidRDefault="00B21518" w:rsidP="00315B57">
            <w:pPr>
              <w:rPr>
                <w:rFonts w:cs="Arial"/>
                <w:color w:val="000000"/>
                <w:shd w:val="clear" w:color="auto" w:fill="FFFFFF"/>
              </w:rPr>
            </w:pPr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5E2BCE3E" w:rsidR="006015FA" w:rsidRPr="002A0AFB" w:rsidRDefault="006015FA" w:rsidP="00315B57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E86DB3">
              <w:rPr>
                <w:rFonts w:cs="Arial"/>
                <w:color w:val="000000"/>
                <w:shd w:val="clear" w:color="auto" w:fill="FFFFFF"/>
              </w:rPr>
              <w:t>2</w:t>
            </w:r>
          </w:p>
        </w:tc>
      </w:tr>
    </w:tbl>
    <w:p w14:paraId="71281B26" w14:textId="77777777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FD369D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699"/>
    <w:multiLevelType w:val="hybridMultilevel"/>
    <w:tmpl w:val="605E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4DA6"/>
    <w:multiLevelType w:val="hybridMultilevel"/>
    <w:tmpl w:val="1C4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649199">
    <w:abstractNumId w:val="0"/>
  </w:num>
  <w:num w:numId="2" w16cid:durableId="424955857">
    <w:abstractNumId w:val="3"/>
  </w:num>
  <w:num w:numId="3" w16cid:durableId="1021929757">
    <w:abstractNumId w:val="2"/>
  </w:num>
  <w:num w:numId="4" w16cid:durableId="169484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2"/>
    <w:rsid w:val="0003575A"/>
    <w:rsid w:val="00044A35"/>
    <w:rsid w:val="00052021"/>
    <w:rsid w:val="00095EAE"/>
    <w:rsid w:val="000A3034"/>
    <w:rsid w:val="000A58D6"/>
    <w:rsid w:val="000C7F96"/>
    <w:rsid w:val="000E1D3D"/>
    <w:rsid w:val="00105440"/>
    <w:rsid w:val="0013612F"/>
    <w:rsid w:val="0018012D"/>
    <w:rsid w:val="001838AF"/>
    <w:rsid w:val="00183C1D"/>
    <w:rsid w:val="001A0512"/>
    <w:rsid w:val="001D359C"/>
    <w:rsid w:val="001F41F9"/>
    <w:rsid w:val="001F567C"/>
    <w:rsid w:val="00201CFB"/>
    <w:rsid w:val="002169D3"/>
    <w:rsid w:val="002328FF"/>
    <w:rsid w:val="0023370A"/>
    <w:rsid w:val="002474BF"/>
    <w:rsid w:val="0025681A"/>
    <w:rsid w:val="002A0AFB"/>
    <w:rsid w:val="002A51FF"/>
    <w:rsid w:val="002D27FD"/>
    <w:rsid w:val="002E01BE"/>
    <w:rsid w:val="002E25F5"/>
    <w:rsid w:val="00314F64"/>
    <w:rsid w:val="00315B57"/>
    <w:rsid w:val="00335E18"/>
    <w:rsid w:val="00341BDA"/>
    <w:rsid w:val="00364D6F"/>
    <w:rsid w:val="00381D82"/>
    <w:rsid w:val="00385098"/>
    <w:rsid w:val="00385C8D"/>
    <w:rsid w:val="003B7C8E"/>
    <w:rsid w:val="003D1FA3"/>
    <w:rsid w:val="003F5363"/>
    <w:rsid w:val="004132E8"/>
    <w:rsid w:val="00435799"/>
    <w:rsid w:val="00445757"/>
    <w:rsid w:val="004A17BC"/>
    <w:rsid w:val="004C17DA"/>
    <w:rsid w:val="004C4A5E"/>
    <w:rsid w:val="004D15D7"/>
    <w:rsid w:val="004D6A00"/>
    <w:rsid w:val="004E4343"/>
    <w:rsid w:val="005143C6"/>
    <w:rsid w:val="00522F6E"/>
    <w:rsid w:val="00544920"/>
    <w:rsid w:val="00546D9A"/>
    <w:rsid w:val="00582CA3"/>
    <w:rsid w:val="00583A45"/>
    <w:rsid w:val="005C2D91"/>
    <w:rsid w:val="005C3738"/>
    <w:rsid w:val="005F27D6"/>
    <w:rsid w:val="005F2F9C"/>
    <w:rsid w:val="006015FA"/>
    <w:rsid w:val="0064184E"/>
    <w:rsid w:val="00651F76"/>
    <w:rsid w:val="0067025E"/>
    <w:rsid w:val="006B7CD7"/>
    <w:rsid w:val="006C2748"/>
    <w:rsid w:val="006C45CE"/>
    <w:rsid w:val="006C58C9"/>
    <w:rsid w:val="006E61E5"/>
    <w:rsid w:val="0071424B"/>
    <w:rsid w:val="007227E7"/>
    <w:rsid w:val="007315F8"/>
    <w:rsid w:val="007570B2"/>
    <w:rsid w:val="007A070B"/>
    <w:rsid w:val="007A1F78"/>
    <w:rsid w:val="007B1C44"/>
    <w:rsid w:val="007D478B"/>
    <w:rsid w:val="007E7FD8"/>
    <w:rsid w:val="007F19AA"/>
    <w:rsid w:val="007F367F"/>
    <w:rsid w:val="008556B4"/>
    <w:rsid w:val="008609E7"/>
    <w:rsid w:val="00870CDF"/>
    <w:rsid w:val="00895B07"/>
    <w:rsid w:val="008974A0"/>
    <w:rsid w:val="008B69C3"/>
    <w:rsid w:val="008C6BB1"/>
    <w:rsid w:val="008D4E79"/>
    <w:rsid w:val="00926F88"/>
    <w:rsid w:val="00941054"/>
    <w:rsid w:val="009451CD"/>
    <w:rsid w:val="00963A9B"/>
    <w:rsid w:val="00963DB7"/>
    <w:rsid w:val="0099486E"/>
    <w:rsid w:val="00996B67"/>
    <w:rsid w:val="009C2ECA"/>
    <w:rsid w:val="009C4631"/>
    <w:rsid w:val="009E4D89"/>
    <w:rsid w:val="00A53E2B"/>
    <w:rsid w:val="00A663F5"/>
    <w:rsid w:val="00A74A38"/>
    <w:rsid w:val="00A815D7"/>
    <w:rsid w:val="00AD6188"/>
    <w:rsid w:val="00AE3993"/>
    <w:rsid w:val="00B21518"/>
    <w:rsid w:val="00B35A39"/>
    <w:rsid w:val="00B77CC8"/>
    <w:rsid w:val="00B8074E"/>
    <w:rsid w:val="00B82F5B"/>
    <w:rsid w:val="00B8665F"/>
    <w:rsid w:val="00B957DA"/>
    <w:rsid w:val="00BE4D3A"/>
    <w:rsid w:val="00C110F8"/>
    <w:rsid w:val="00C174DA"/>
    <w:rsid w:val="00C3482A"/>
    <w:rsid w:val="00C3763F"/>
    <w:rsid w:val="00C55942"/>
    <w:rsid w:val="00C85B77"/>
    <w:rsid w:val="00C921C1"/>
    <w:rsid w:val="00CD30F5"/>
    <w:rsid w:val="00D07B2D"/>
    <w:rsid w:val="00D26550"/>
    <w:rsid w:val="00D35BDF"/>
    <w:rsid w:val="00D56929"/>
    <w:rsid w:val="00D9375D"/>
    <w:rsid w:val="00DB4643"/>
    <w:rsid w:val="00DC68A7"/>
    <w:rsid w:val="00DE06D4"/>
    <w:rsid w:val="00E0510D"/>
    <w:rsid w:val="00E178F4"/>
    <w:rsid w:val="00E2551F"/>
    <w:rsid w:val="00E85D53"/>
    <w:rsid w:val="00E86DB3"/>
    <w:rsid w:val="00ED0A92"/>
    <w:rsid w:val="00F02726"/>
    <w:rsid w:val="00F0516E"/>
    <w:rsid w:val="00F10E24"/>
    <w:rsid w:val="00F11E09"/>
    <w:rsid w:val="00F13DED"/>
    <w:rsid w:val="00F47C14"/>
    <w:rsid w:val="00F513DC"/>
    <w:rsid w:val="00FD369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0DA6F6CF-6466-4976-9320-A2B5FDD6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rovide.mapi-tru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977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Carlos Leonardo Cano Herrera</cp:lastModifiedBy>
  <cp:revision>21</cp:revision>
  <dcterms:created xsi:type="dcterms:W3CDTF">2024-02-12T22:06:00Z</dcterms:created>
  <dcterms:modified xsi:type="dcterms:W3CDTF">2024-10-04T22:35:00Z</dcterms:modified>
</cp:coreProperties>
</file>