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654B" w14:textId="77777777" w:rsidR="005614F6" w:rsidRPr="00341BDA" w:rsidRDefault="005614F6" w:rsidP="005614F6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11"/>
        <w:gridCol w:w="1806"/>
        <w:gridCol w:w="1776"/>
        <w:gridCol w:w="66"/>
        <w:gridCol w:w="3516"/>
      </w:tblGrid>
      <w:tr w:rsidR="005614F6" w:rsidRPr="007B1C44" w14:paraId="7EF4ABA0" w14:textId="77777777" w:rsidTr="0074258F">
        <w:trPr>
          <w:trHeight w:val="531"/>
        </w:trPr>
        <w:tc>
          <w:tcPr>
            <w:tcW w:w="10745" w:type="dxa"/>
            <w:gridSpan w:val="6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5E0B9F8C" w14:textId="2AD16530" w:rsidR="005614F6" w:rsidRPr="00300EBE" w:rsidRDefault="005614F6" w:rsidP="0074258F">
            <w:pPr>
              <w:rPr>
                <w:rFonts w:cs="Arial"/>
                <w:bCs/>
                <w:color w:val="FFFFFF" w:themeColor="background1"/>
                <w:sz w:val="28"/>
                <w:szCs w:val="28"/>
              </w:rPr>
            </w:pPr>
            <w:r w:rsidRPr="00300EBE">
              <w:rPr>
                <w:rFonts w:cs="Arial"/>
                <w:bCs/>
                <w:color w:val="FFFFFF" w:themeColor="background1"/>
                <w:sz w:val="28"/>
                <w:szCs w:val="28"/>
              </w:rPr>
              <w:t>Health Behaviour Questionnaire (HBQ)</w:t>
            </w:r>
          </w:p>
        </w:tc>
      </w:tr>
      <w:tr w:rsidR="005614F6" w:rsidRPr="007B1C44" w14:paraId="5A95D655" w14:textId="77777777" w:rsidTr="0074258F">
        <w:trPr>
          <w:trHeight w:val="416"/>
        </w:trPr>
        <w:tc>
          <w:tcPr>
            <w:tcW w:w="10745" w:type="dxa"/>
            <w:gridSpan w:val="6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0B691D4D" w14:textId="77777777" w:rsidR="005614F6" w:rsidRPr="00435799" w:rsidRDefault="005614F6" w:rsidP="0074258F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5614F6" w:rsidRPr="007B1C44" w14:paraId="59DAF501" w14:textId="77777777" w:rsidTr="0074258F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14C6008" w14:textId="77777777" w:rsidR="005614F6" w:rsidRPr="002A0AFB" w:rsidRDefault="005614F6" w:rsidP="0074258F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5614F6" w:rsidRPr="007B1C44" w14:paraId="609EFA38" w14:textId="77777777" w:rsidTr="0074258F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A0CF4FD" w14:textId="77777777" w:rsidR="005614F6" w:rsidRDefault="005614F6" w:rsidP="0074258F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4E1F5ED5" w14:textId="00788ACD" w:rsidR="005614F6" w:rsidRDefault="004B3023" w:rsidP="0074258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Activity and Participation</w:t>
                  </w:r>
                </w:p>
                <w:p w14:paraId="2485F1D0" w14:textId="36E2FC55" w:rsidR="005614F6" w:rsidRPr="00F11E09" w:rsidRDefault="005614F6" w:rsidP="0074258F">
                  <w:pPr>
                    <w:rPr>
                      <w:b/>
                      <w:lang w:val="en-US"/>
                    </w:rPr>
                  </w:pPr>
                  <w:r w:rsidRPr="00F11E09">
                    <w:rPr>
                      <w:b/>
                      <w:lang w:val="en-US"/>
                    </w:rPr>
                    <w:t>Subcategor</w:t>
                  </w:r>
                  <w:r w:rsidR="004B3023">
                    <w:rPr>
                      <w:b/>
                      <w:lang w:val="en-US"/>
                    </w:rPr>
                    <w:t>ies</w:t>
                  </w:r>
                  <w:r w:rsidRPr="00F11E09">
                    <w:rPr>
                      <w:b/>
                      <w:lang w:val="en-US"/>
                    </w:rPr>
                    <w:t>:</w:t>
                  </w:r>
                </w:p>
                <w:p w14:paraId="419A89A3" w14:textId="2CD1A3BA" w:rsidR="005614F6" w:rsidRPr="00325E32" w:rsidRDefault="004B3023" w:rsidP="0074258F">
                  <w:pPr>
                    <w:spacing w:after="0" w:line="240" w:lineRule="auto"/>
                    <w:rPr>
                      <w:rFonts w:ascii="Calibri" w:eastAsia="Times New Roman" w:hAnsi="Calibri"/>
                      <w:lang w:eastAsia="en-US"/>
                    </w:rPr>
                  </w:pPr>
                  <w:r>
                    <w:rPr>
                      <w:rFonts w:ascii="Calibri" w:eastAsia="Times New Roman" w:hAnsi="Calibri"/>
                      <w:lang w:eastAsia="en-US"/>
                    </w:rPr>
                    <w:t>Self-care, learning and applying knowledge</w:t>
                  </w:r>
                </w:p>
              </w:tc>
            </w:tr>
          </w:tbl>
          <w:p w14:paraId="4DF22589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D96E7E3" w14:textId="77777777" w:rsidR="005614F6" w:rsidRPr="002A0AFB" w:rsidRDefault="005614F6" w:rsidP="0074258F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5614F6" w:rsidRPr="007B1C44" w14:paraId="0DE6323D" w14:textId="77777777" w:rsidTr="0074258F">
              <w:trPr>
                <w:trHeight w:val="1132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225F28FC" w14:textId="77777777" w:rsidR="00300EBE" w:rsidRDefault="0072780D" w:rsidP="00300EBE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2780D">
                    <w:rPr>
                      <w:rFonts w:ascii="Calibri" w:hAnsi="Calibri" w:cs="Calibri"/>
                      <w:sz w:val="22"/>
                      <w:szCs w:val="22"/>
                    </w:rPr>
                    <w:t xml:space="preserve">The </w:t>
                  </w:r>
                  <w:r w:rsidR="00300EBE">
                    <w:rPr>
                      <w:rFonts w:ascii="Calibri" w:hAnsi="Calibri" w:cs="Calibri"/>
                      <w:sz w:val="22"/>
                      <w:szCs w:val="22"/>
                    </w:rPr>
                    <w:t>Health Behaviour Questionnaire (</w:t>
                  </w:r>
                  <w:r w:rsidRPr="0072780D">
                    <w:rPr>
                      <w:rFonts w:ascii="Calibri" w:hAnsi="Calibri" w:cs="Calibri"/>
                      <w:sz w:val="22"/>
                      <w:szCs w:val="22"/>
                    </w:rPr>
                    <w:t>HBQ</w:t>
                  </w:r>
                  <w:r w:rsidR="00300EBE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  <w:r w:rsidRPr="0072780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E117E9">
                    <w:rPr>
                      <w:rFonts w:ascii="Calibri" w:hAnsi="Calibri" w:cs="Calibri"/>
                      <w:sz w:val="22"/>
                      <w:szCs w:val="22"/>
                    </w:rPr>
                    <w:t>is used to describe the health behaviours of persons with SCI living in the community and the relationships between health behaviour, injury characteristics, and health related variable</w:t>
                  </w:r>
                  <w:r w:rsidR="001D3B57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="00E117E9">
                    <w:rPr>
                      <w:rFonts w:ascii="Calibri" w:hAnsi="Calibri" w:cs="Calibri"/>
                      <w:sz w:val="22"/>
                      <w:szCs w:val="22"/>
                    </w:rPr>
                    <w:t xml:space="preserve"> including: the presence and number of secondary impairments, readmissions in rehabilitation centre</w:t>
                  </w:r>
                  <w:r w:rsidR="001D3B57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="00E117E9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hospital</w:t>
                  </w:r>
                  <w:r w:rsidR="001D3B57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="00E117E9">
                    <w:rPr>
                      <w:rFonts w:ascii="Calibri" w:hAnsi="Calibri" w:cs="Calibri"/>
                      <w:sz w:val="22"/>
                      <w:szCs w:val="22"/>
                    </w:rPr>
                    <w:t>, and perceived health.</w:t>
                  </w:r>
                  <w:r w:rsidR="001D3B57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2F3E8E4F" w14:textId="37B401CC" w:rsidR="005614F6" w:rsidRPr="002729A3" w:rsidRDefault="001D3B57" w:rsidP="00300EBE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HBQ assesses the frequency of health behaviours that delay or prevent secondary impairments. </w:t>
                  </w:r>
                </w:p>
              </w:tc>
            </w:tr>
          </w:tbl>
          <w:p w14:paraId="5321FC5A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5614F6" w:rsidRPr="007B1C44" w14:paraId="2D948E45" w14:textId="77777777" w:rsidTr="0074258F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FF60387" w14:textId="77777777" w:rsidR="005614F6" w:rsidRPr="002A0AFB" w:rsidRDefault="005614F6" w:rsidP="0074258F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3348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348"/>
            </w:tblGrid>
            <w:tr w:rsidR="005614F6" w:rsidRPr="007B1C44" w14:paraId="2233D0B6" w14:textId="77777777" w:rsidTr="00E117E9">
              <w:trPr>
                <w:trHeight w:val="1576"/>
              </w:trPr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BF2158D" w14:textId="77777777" w:rsidR="005614F6" w:rsidRDefault="005614F6" w:rsidP="0074258F">
                  <w:pPr>
                    <w:spacing w:after="0"/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1B0597E7" w14:textId="649C54D7" w:rsidR="005614F6" w:rsidRDefault="00E117E9" w:rsidP="0074258F">
                  <w:p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 items</w:t>
                  </w:r>
                  <w:r w:rsidR="001D3B57">
                    <w:rPr>
                      <w:rFonts w:cs="Arial"/>
                    </w:rPr>
                    <w:t>, self report questionnaire</w:t>
                  </w:r>
                </w:p>
                <w:p w14:paraId="0E861170" w14:textId="77777777" w:rsidR="005614F6" w:rsidRDefault="005614F6" w:rsidP="0074258F">
                  <w:pPr>
                    <w:spacing w:after="0"/>
                    <w:rPr>
                      <w:rFonts w:cs="Arial"/>
                    </w:rPr>
                  </w:pPr>
                </w:p>
                <w:p w14:paraId="40A14AAA" w14:textId="77777777" w:rsidR="005614F6" w:rsidRDefault="005614F6" w:rsidP="0074258F">
                  <w:pPr>
                    <w:spacing w:after="0"/>
                    <w:rPr>
                      <w:rFonts w:cs="Arial"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4ABA95E3" w14:textId="77777777" w:rsidR="005614F6" w:rsidRDefault="00E117E9" w:rsidP="005614F6">
                  <w:pPr>
                    <w:spacing w:after="0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Scores based on Likert Scale (0-3)</w:t>
                  </w:r>
                </w:p>
                <w:p w14:paraId="5BDF43A2" w14:textId="77777777" w:rsidR="00E117E9" w:rsidRDefault="00E117E9" w:rsidP="005614F6">
                  <w:pPr>
                    <w:spacing w:after="0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0 = never</w:t>
                  </w:r>
                </w:p>
                <w:p w14:paraId="27D0480F" w14:textId="77777777" w:rsidR="00E117E9" w:rsidRDefault="00E117E9" w:rsidP="005614F6">
                  <w:pPr>
                    <w:spacing w:after="0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1 = sometimes</w:t>
                  </w:r>
                </w:p>
                <w:p w14:paraId="4FE31B1C" w14:textId="77777777" w:rsidR="00E117E9" w:rsidRDefault="00E117E9" w:rsidP="005614F6">
                  <w:pPr>
                    <w:spacing w:after="0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2= often</w:t>
                  </w:r>
                </w:p>
                <w:p w14:paraId="23A54756" w14:textId="77777777" w:rsidR="00E117E9" w:rsidRDefault="00E117E9" w:rsidP="005614F6">
                  <w:pPr>
                    <w:spacing w:after="0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3 = always</w:t>
                  </w:r>
                </w:p>
                <w:p w14:paraId="69BA113A" w14:textId="4B92BE8C" w:rsidR="00E117E9" w:rsidRPr="00DE4D56" w:rsidRDefault="00E117E9" w:rsidP="005614F6">
                  <w:pPr>
                    <w:spacing w:after="0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Total HBQ score is calculated by summing the scores of each item. Total score range is from 0 (never performing any health behaviors) up to 66 (always performing all health behaviours)</w:t>
                  </w:r>
                </w:p>
              </w:tc>
            </w:tr>
          </w:tbl>
          <w:p w14:paraId="38DAAC83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5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818E1A0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5614F6" w:rsidRPr="007B1C44" w14:paraId="6C2DB92D" w14:textId="77777777" w:rsidTr="0074258F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722AA0F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7E2D5BE" w14:textId="77777777" w:rsidR="005614F6" w:rsidRPr="002A0AFB" w:rsidRDefault="005614F6" w:rsidP="0074258F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5614F6" w:rsidRPr="007B1C44" w14:paraId="3ADC250B" w14:textId="77777777" w:rsidTr="0074258F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59DCF39D" w14:textId="4F26330A" w:rsidR="00300EBE" w:rsidRDefault="00AF3AC9" w:rsidP="00300EBE">
                  <w:pPr>
                    <w:spacing w:before="120" w:after="120" w:line="240" w:lineRule="auto"/>
                    <w:rPr>
                      <w:rFonts w:eastAsia="Times New Roman"/>
                      <w:lang w:eastAsia="en-US"/>
                    </w:rPr>
                  </w:pPr>
                  <w:r w:rsidRPr="00AF3AC9">
                    <w:rPr>
                      <w:rFonts w:eastAsia="Times New Roman"/>
                      <w:b/>
                      <w:bCs/>
                      <w:lang w:eastAsia="en-US"/>
                    </w:rPr>
                    <w:t>Worksheet:</w:t>
                  </w:r>
                  <w:r>
                    <w:rPr>
                      <w:rFonts w:eastAsia="Times New Roman"/>
                      <w:lang w:eastAsia="en-US"/>
                    </w:rPr>
                    <w:t xml:space="preserve"> </w:t>
                  </w:r>
                  <w:r w:rsidR="00300EBE">
                    <w:rPr>
                      <w:rFonts w:eastAsia="Times New Roman"/>
                      <w:lang w:eastAsia="en-US"/>
                    </w:rPr>
                    <w:t xml:space="preserve">Can be found by contacting the author (Maryam </w:t>
                  </w:r>
                  <w:proofErr w:type="spellStart"/>
                  <w:r w:rsidR="00300EBE">
                    <w:rPr>
                      <w:rFonts w:eastAsia="Times New Roman"/>
                      <w:lang w:eastAsia="en-US"/>
                    </w:rPr>
                    <w:t>Shabany</w:t>
                  </w:r>
                  <w:proofErr w:type="spellEnd"/>
                  <w:r w:rsidR="00300EBE">
                    <w:rPr>
                      <w:rFonts w:eastAsia="Times New Roman"/>
                      <w:lang w:eastAsia="en-US"/>
                    </w:rPr>
                    <w:t xml:space="preserve"> / Alireza </w:t>
                  </w:r>
                  <w:proofErr w:type="spellStart"/>
                  <w:r w:rsidR="00300EBE">
                    <w:rPr>
                      <w:rFonts w:eastAsia="Times New Roman"/>
                      <w:lang w:eastAsia="en-US"/>
                    </w:rPr>
                    <w:t>Nikbakht</w:t>
                  </w:r>
                  <w:proofErr w:type="spellEnd"/>
                  <w:r w:rsidR="00300EBE">
                    <w:rPr>
                      <w:rFonts w:eastAsia="Times New Roman"/>
                      <w:lang w:eastAsia="en-US"/>
                    </w:rPr>
                    <w:t xml:space="preserve"> </w:t>
                  </w:r>
                  <w:proofErr w:type="spellStart"/>
                  <w:r w:rsidR="00300EBE">
                    <w:rPr>
                      <w:rFonts w:eastAsia="Times New Roman"/>
                      <w:lang w:eastAsia="en-US"/>
                    </w:rPr>
                    <w:t>Nasrabadi</w:t>
                  </w:r>
                  <w:proofErr w:type="spellEnd"/>
                  <w:r w:rsidR="00300EBE">
                    <w:rPr>
                      <w:rFonts w:eastAsia="Times New Roman"/>
                      <w:lang w:eastAsia="en-US"/>
                    </w:rPr>
                    <w:t xml:space="preserve">, </w:t>
                  </w:r>
                  <w:hyperlink r:id="rId4" w:history="1">
                    <w:r w:rsidR="00300EBE" w:rsidRPr="00351DE0">
                      <w:rPr>
                        <w:rStyle w:val="Hipervnculo"/>
                        <w:rFonts w:eastAsia="Times New Roman"/>
                        <w:lang w:eastAsia="en-US"/>
                      </w:rPr>
                      <w:t>mansournia_ma@yahoo.com</w:t>
                    </w:r>
                  </w:hyperlink>
                  <w:r w:rsidR="00300EBE">
                    <w:rPr>
                      <w:rFonts w:eastAsia="Times New Roman"/>
                      <w:lang w:eastAsia="en-US"/>
                    </w:rPr>
                    <w:t>).</w:t>
                  </w:r>
                </w:p>
                <w:p w14:paraId="78AE76EA" w14:textId="77777777" w:rsidR="00AF3AC9" w:rsidRDefault="00AF3AC9" w:rsidP="00300EBE">
                  <w:pPr>
                    <w:spacing w:before="120" w:after="120" w:line="240" w:lineRule="auto"/>
                    <w:rPr>
                      <w:rFonts w:eastAsia="Times New Roman"/>
                      <w:lang w:eastAsia="en-US"/>
                    </w:rPr>
                  </w:pPr>
                </w:p>
                <w:p w14:paraId="70B3C010" w14:textId="33EB5E68" w:rsidR="005614F6" w:rsidRPr="00085359" w:rsidRDefault="00AF3AC9" w:rsidP="00300EBE">
                  <w:pPr>
                    <w:spacing w:before="120" w:after="120" w:line="240" w:lineRule="auto"/>
                    <w:rPr>
                      <w:rFonts w:eastAsia="Times New Roman"/>
                      <w:lang w:eastAsia="en-US"/>
                    </w:rPr>
                  </w:pPr>
                  <w:r w:rsidRPr="00AF3AC9">
                    <w:rPr>
                      <w:rFonts w:eastAsia="Times New Roman"/>
                      <w:b/>
                      <w:bCs/>
                      <w:lang w:eastAsia="en-US"/>
                    </w:rPr>
                    <w:t>Languages:</w:t>
                  </w:r>
                  <w:r>
                    <w:rPr>
                      <w:rFonts w:eastAsia="Times New Roman"/>
                      <w:lang w:eastAsia="en-US"/>
                    </w:rPr>
                    <w:t xml:space="preserve"> English and Persian.</w:t>
                  </w:r>
                </w:p>
              </w:tc>
            </w:tr>
          </w:tbl>
          <w:p w14:paraId="2A85DAF5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5614F6" w:rsidRPr="007B1C44" w14:paraId="1448A4A6" w14:textId="77777777" w:rsidTr="0074258F">
        <w:trPr>
          <w:trHeight w:val="472"/>
        </w:trPr>
        <w:tc>
          <w:tcPr>
            <w:tcW w:w="10745" w:type="dxa"/>
            <w:gridSpan w:val="6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3125DAD3" w14:textId="77777777" w:rsidR="005614F6" w:rsidRPr="007B1C44" w:rsidRDefault="005614F6" w:rsidP="0074258F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5614F6" w:rsidRPr="007B1C44" w14:paraId="29DE25DA" w14:textId="77777777" w:rsidTr="00E117E9">
        <w:trPr>
          <w:trHeight w:val="4223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41E13F88" w14:textId="77777777" w:rsidR="005614F6" w:rsidRPr="002A0AFB" w:rsidRDefault="005614F6" w:rsidP="0074258F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5614F6" w:rsidRPr="007B1C44" w14:paraId="6D64903E" w14:textId="77777777" w:rsidTr="0074258F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94F2C54" w14:textId="77777777" w:rsidR="005614F6" w:rsidRPr="00A43BFA" w:rsidRDefault="005614F6" w:rsidP="00300EBE">
                  <w:pPr>
                    <w:pStyle w:val="Subttulo"/>
                    <w:rPr>
                      <w:sz w:val="22"/>
                      <w:shd w:val="clear" w:color="auto" w:fill="FFFFFF"/>
                      <w:lang w:val="en-US"/>
                    </w:rPr>
                  </w:pPr>
                  <w:r>
                    <w:rPr>
                      <w:sz w:val="22"/>
                      <w:shd w:val="clear" w:color="auto" w:fill="FFFFFF"/>
                      <w:lang w:val="en-US"/>
                    </w:rPr>
                    <w:t>Not established in SCI</w:t>
                  </w:r>
                </w:p>
              </w:tc>
            </w:tr>
          </w:tbl>
          <w:p w14:paraId="45FE92EF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9" w:type="dxa"/>
            <w:gridSpan w:val="4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257B0C4" w14:textId="77777777" w:rsidR="005614F6" w:rsidRPr="00A43BFA" w:rsidRDefault="005614F6" w:rsidP="0074258F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tbl>
            <w:tblPr>
              <w:tblStyle w:val="Tablaconcuadrcula"/>
              <w:tblW w:w="335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353"/>
            </w:tblGrid>
            <w:tr w:rsidR="005614F6" w:rsidRPr="007B1C44" w14:paraId="739B6608" w14:textId="77777777" w:rsidTr="00300EBE">
              <w:trPr>
                <w:trHeight w:val="1441"/>
              </w:trPr>
              <w:tc>
                <w:tcPr>
                  <w:tcW w:w="3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9253629" w14:textId="77777777" w:rsidR="005614F6" w:rsidRPr="002630F7" w:rsidRDefault="005614F6" w:rsidP="00300EBE">
                  <w:pPr>
                    <w:spacing w:before="120" w:after="0"/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2630F7">
                    <w:rPr>
                      <w:rFonts w:cs="Arial"/>
                      <w:color w:val="000000"/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2BA64861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6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533744D" w14:textId="77777777" w:rsidR="005614F6" w:rsidRPr="00A841C2" w:rsidRDefault="005614F6" w:rsidP="0074258F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Typical</w:t>
            </w: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 Values</w:t>
            </w: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5614F6" w:rsidRPr="007B1C44" w14:paraId="4D48C4D1" w14:textId="77777777" w:rsidTr="00300EBE">
              <w:trPr>
                <w:trHeight w:val="1441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2017741" w14:textId="77777777" w:rsidR="005614F6" w:rsidRPr="00244A8F" w:rsidRDefault="005614F6" w:rsidP="00300EBE">
                  <w:pPr>
                    <w:spacing w:before="120"/>
                    <w:rPr>
                      <w:rFonts w:cs="Arial"/>
                      <w:color w:val="00000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7BB35559" w14:textId="77777777" w:rsidR="005614F6" w:rsidRPr="007B1C44" w:rsidRDefault="005614F6" w:rsidP="0074258F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5614F6" w:rsidRPr="007B1C44" w14:paraId="379E8E1E" w14:textId="77777777" w:rsidTr="0074258F">
        <w:trPr>
          <w:trHeight w:val="640"/>
        </w:trPr>
        <w:tc>
          <w:tcPr>
            <w:tcW w:w="10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4A5EF309" w14:textId="77777777" w:rsidR="005614F6" w:rsidRPr="002A0AFB" w:rsidRDefault="005614F6" w:rsidP="0074258F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cs="Arial"/>
                <w:sz w:val="21"/>
              </w:rPr>
              <w:lastRenderedPageBreak/>
              <w:br w:type="page"/>
            </w: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5614F6" w:rsidRPr="007B1C44" w14:paraId="597BDAE7" w14:textId="77777777" w:rsidTr="0074258F">
        <w:trPr>
          <w:trHeight w:val="7028"/>
        </w:trPr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8BED350" w14:textId="2EAACB21" w:rsidR="005614F6" w:rsidRPr="00FD6D8B" w:rsidRDefault="005614F6" w:rsidP="0074258F">
            <w:pPr>
              <w:pBdr>
                <w:bottom w:val="single" w:sz="4" w:space="1" w:color="auto"/>
              </w:pBdr>
              <w:spacing w:after="40"/>
              <w:rPr>
                <w:rFonts w:cs="Arial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</w:t>
            </w:r>
            <w:r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  <w:r w:rsidRPr="005614F6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5614F6" w:rsidRPr="002A0AFB" w14:paraId="395C6D49" w14:textId="77777777" w:rsidTr="0074258F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40CC56DB" w14:textId="63B1D65F" w:rsidR="005614F6" w:rsidRPr="00300EBE" w:rsidRDefault="005614F6" w:rsidP="00300EBE">
                  <w:pPr>
                    <w:spacing w:before="120" w:after="120" w:line="240" w:lineRule="auto"/>
                    <w:rPr>
                      <w:b/>
                      <w:iCs/>
                    </w:rPr>
                  </w:pPr>
                  <w:r w:rsidRPr="00300EBE">
                    <w:rPr>
                      <w:b/>
                      <w:iCs/>
                      <w:color w:val="00B050"/>
                    </w:rPr>
                    <w:t xml:space="preserve">High </w:t>
                  </w:r>
                  <w:r w:rsidRPr="00300EBE">
                    <w:rPr>
                      <w:b/>
                      <w:iCs/>
                    </w:rPr>
                    <w:t>Correlation with Spinal Cord Lifestyle Scale (SCILS):</w:t>
                  </w:r>
                </w:p>
                <w:p w14:paraId="0C0A90F5" w14:textId="4E81F83F" w:rsidR="00153604" w:rsidRPr="00300EBE" w:rsidRDefault="005614F6" w:rsidP="00300EBE">
                  <w:pPr>
                    <w:spacing w:before="120" w:after="120" w:line="240" w:lineRule="auto"/>
                    <w:rPr>
                      <w:bCs/>
                      <w:iCs/>
                    </w:rPr>
                  </w:pPr>
                  <w:r w:rsidRPr="00300EBE">
                    <w:rPr>
                      <w:bCs/>
                      <w:iCs/>
                    </w:rPr>
                    <w:t>r = 0.65</w:t>
                  </w:r>
                </w:p>
                <w:p w14:paraId="5F20DF4E" w14:textId="5444D497" w:rsidR="005614F6" w:rsidRPr="00300EBE" w:rsidRDefault="00153604" w:rsidP="00300EBE">
                  <w:pPr>
                    <w:spacing w:before="120" w:after="120" w:line="240" w:lineRule="auto"/>
                    <w:rPr>
                      <w:bCs/>
                      <w:iCs/>
                      <w:sz w:val="16"/>
                      <w:szCs w:val="16"/>
                    </w:rPr>
                  </w:pPr>
                  <w:r w:rsidRPr="00300EBE">
                    <w:rPr>
                      <w:bCs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00EBE">
                    <w:rPr>
                      <w:bCs/>
                      <w:iCs/>
                      <w:sz w:val="16"/>
                      <w:szCs w:val="16"/>
                    </w:rPr>
                    <w:t>Shabany</w:t>
                  </w:r>
                  <w:proofErr w:type="spellEnd"/>
                  <w:r w:rsidRPr="00300EBE">
                    <w:rPr>
                      <w:bCs/>
                      <w:iCs/>
                      <w:sz w:val="16"/>
                      <w:szCs w:val="16"/>
                    </w:rPr>
                    <w:t xml:space="preserve"> et al. 2018; </w:t>
                  </w:r>
                  <w:r w:rsidR="00300EBE">
                    <w:rPr>
                      <w:bCs/>
                      <w:iCs/>
                      <w:sz w:val="16"/>
                      <w:szCs w:val="16"/>
                    </w:rPr>
                    <w:t>n</w:t>
                  </w:r>
                  <w:r w:rsidRPr="00300EBE">
                    <w:rPr>
                      <w:bCs/>
                      <w:iCs/>
                      <w:sz w:val="16"/>
                      <w:szCs w:val="16"/>
                    </w:rPr>
                    <w:t>=97</w:t>
                  </w:r>
                  <w:r w:rsidR="00300EBE">
                    <w:rPr>
                      <w:bCs/>
                      <w:iCs/>
                      <w:sz w:val="16"/>
                      <w:szCs w:val="16"/>
                    </w:rPr>
                    <w:t>;</w:t>
                  </w:r>
                  <w:r w:rsidRPr="00300EBE">
                    <w:rPr>
                      <w:bCs/>
                      <w:iCs/>
                      <w:sz w:val="16"/>
                      <w:szCs w:val="16"/>
                    </w:rPr>
                    <w:t xml:space="preserve"> 77 males</w:t>
                  </w:r>
                  <w:r w:rsidR="00300EBE">
                    <w:rPr>
                      <w:bCs/>
                      <w:iCs/>
                      <w:sz w:val="16"/>
                      <w:szCs w:val="16"/>
                    </w:rPr>
                    <w:t>;</w:t>
                  </w:r>
                  <w:r w:rsidRPr="00300EBE">
                    <w:rPr>
                      <w:bCs/>
                      <w:iCs/>
                      <w:sz w:val="16"/>
                      <w:szCs w:val="16"/>
                    </w:rPr>
                    <w:t xml:space="preserve"> mean (SD) age: 36.29 (11.49) years,</w:t>
                  </w:r>
                  <w:r w:rsidR="00300EBE">
                    <w:rPr>
                      <w:bCs/>
                      <w:iCs/>
                      <w:sz w:val="16"/>
                      <w:szCs w:val="16"/>
                    </w:rPr>
                    <w:t xml:space="preserve"> 60 complete injuries, 77 paraplegia;</w:t>
                  </w:r>
                  <w:r w:rsidRPr="00300EBE">
                    <w:rPr>
                      <w:bCs/>
                      <w:iCs/>
                      <w:sz w:val="16"/>
                      <w:szCs w:val="16"/>
                    </w:rPr>
                    <w:t xml:space="preserve"> mean (SD) duration: 4.36 (4.28) years</w:t>
                  </w:r>
                  <w:r w:rsidR="00AF3AC9">
                    <w:rPr>
                      <w:bCs/>
                      <w:iCs/>
                      <w:sz w:val="16"/>
                      <w:szCs w:val="16"/>
                    </w:rPr>
                    <w:t>; Persian version</w:t>
                  </w:r>
                  <w:r w:rsidRPr="00300EBE">
                    <w:rPr>
                      <w:bCs/>
                      <w:iCs/>
                      <w:sz w:val="16"/>
                      <w:szCs w:val="16"/>
                    </w:rPr>
                    <w:t>)</w:t>
                  </w:r>
                </w:p>
                <w:p w14:paraId="6F58D898" w14:textId="77777777" w:rsidR="005614F6" w:rsidRPr="00300EBE" w:rsidRDefault="005614F6" w:rsidP="00300EBE">
                  <w:pPr>
                    <w:spacing w:before="120" w:after="120" w:line="240" w:lineRule="auto"/>
                    <w:rPr>
                      <w:bCs/>
                      <w:iCs/>
                      <w:sz w:val="16"/>
                      <w:szCs w:val="16"/>
                    </w:rPr>
                  </w:pPr>
                </w:p>
                <w:p w14:paraId="67B22C5A" w14:textId="213F421D" w:rsidR="005614F6" w:rsidRPr="00A27F9B" w:rsidRDefault="005614F6" w:rsidP="00300EBE">
                  <w:pPr>
                    <w:spacing w:before="120" w:after="120" w:line="240" w:lineRule="auto"/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300EBE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Number of studies reporting validity data: </w:t>
                  </w:r>
                  <w:r w:rsidRPr="00300EBE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1</w:t>
                  </w:r>
                </w:p>
              </w:tc>
            </w:tr>
          </w:tbl>
          <w:p w14:paraId="29D95546" w14:textId="77777777" w:rsidR="005614F6" w:rsidRPr="002A0AFB" w:rsidRDefault="005614F6" w:rsidP="0074258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11A92A69" w14:textId="44C7042E" w:rsidR="005614F6" w:rsidRPr="002729A3" w:rsidRDefault="005614F6" w:rsidP="0074258F">
            <w:pPr>
              <w:pBdr>
                <w:bottom w:val="single" w:sz="4" w:space="1" w:color="auto"/>
              </w:pBdr>
              <w:spacing w:after="40"/>
              <w:rPr>
                <w:rFonts w:cs="Arial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</w:t>
            </w:r>
            <w:r>
              <w:rPr>
                <w:rFonts w:cs="Arial"/>
                <w:b/>
                <w:color w:val="F0A40C"/>
                <w:sz w:val="26"/>
                <w:szCs w:val="26"/>
                <w:shd w:val="clear" w:color="auto" w:fill="FFFFFF"/>
              </w:rPr>
              <w:t xml:space="preserve"> </w:t>
            </w:r>
            <w:r w:rsidRPr="005614F6">
              <w:rPr>
                <w:rFonts w:cs="Arial"/>
                <w:b/>
                <w:color w:val="00B050"/>
                <w:sz w:val="26"/>
                <w:szCs w:val="26"/>
                <w:shd w:val="clear" w:color="auto" w:fill="FFFFFF"/>
              </w:rPr>
              <w:t>High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5614F6" w:rsidRPr="002A0AFB" w14:paraId="4A9ABC82" w14:textId="77777777" w:rsidTr="0074258F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6E575F31" w14:textId="4D8A3D86" w:rsidR="005614F6" w:rsidRPr="00300EBE" w:rsidRDefault="005614F6" w:rsidP="00300EBE">
                  <w:pPr>
                    <w:spacing w:before="120" w:after="120" w:line="240" w:lineRule="auto"/>
                    <w:rPr>
                      <w:b/>
                      <w:iCs/>
                    </w:rPr>
                  </w:pPr>
                  <w:r w:rsidRPr="00300EBE">
                    <w:rPr>
                      <w:b/>
                      <w:iCs/>
                      <w:color w:val="00B050"/>
                    </w:rPr>
                    <w:t xml:space="preserve">High </w:t>
                  </w:r>
                  <w:r w:rsidRPr="00300EBE">
                    <w:rPr>
                      <w:b/>
                      <w:iCs/>
                    </w:rPr>
                    <w:t>Internal Consistency:</w:t>
                  </w:r>
                </w:p>
                <w:p w14:paraId="2F0BF673" w14:textId="0F57843A" w:rsidR="005614F6" w:rsidRPr="00300EBE" w:rsidRDefault="005614F6" w:rsidP="00300EBE">
                  <w:pPr>
                    <w:spacing w:before="120" w:after="120" w:line="240" w:lineRule="auto"/>
                    <w:rPr>
                      <w:iCs/>
                    </w:rPr>
                  </w:pPr>
                  <w:r w:rsidRPr="00300EBE">
                    <w:rPr>
                      <w:rFonts w:ascii="Calibri" w:hAnsi="Calibri" w:cs="Calibri"/>
                      <w:bCs/>
                      <w:iCs/>
                      <w:color w:val="000000"/>
                    </w:rPr>
                    <w:t xml:space="preserve">α </w:t>
                  </w:r>
                  <w:r w:rsidRPr="00300EBE">
                    <w:rPr>
                      <w:iCs/>
                    </w:rPr>
                    <w:t>= 0.8</w:t>
                  </w:r>
                  <w:r w:rsidR="00D9656A" w:rsidRPr="00300EBE">
                    <w:rPr>
                      <w:iCs/>
                    </w:rPr>
                    <w:t>0-0.85</w:t>
                  </w:r>
                </w:p>
                <w:p w14:paraId="09481AC4" w14:textId="4B672BD3" w:rsidR="005614F6" w:rsidRPr="00300EBE" w:rsidRDefault="005614F6" w:rsidP="00300EBE">
                  <w:pPr>
                    <w:spacing w:before="120" w:after="120" w:line="240" w:lineRule="auto"/>
                    <w:rPr>
                      <w:bCs/>
                      <w:iCs/>
                      <w:color w:val="00B050"/>
                    </w:rPr>
                  </w:pPr>
                </w:p>
                <w:p w14:paraId="3B4C0842" w14:textId="4652202C" w:rsidR="005614F6" w:rsidRPr="00300EBE" w:rsidRDefault="005614F6" w:rsidP="00300EBE">
                  <w:pPr>
                    <w:spacing w:before="120" w:after="120" w:line="240" w:lineRule="auto"/>
                    <w:rPr>
                      <w:b/>
                      <w:iCs/>
                    </w:rPr>
                  </w:pPr>
                  <w:r w:rsidRPr="00300EBE">
                    <w:rPr>
                      <w:b/>
                      <w:iCs/>
                      <w:color w:val="00B050"/>
                    </w:rPr>
                    <w:t xml:space="preserve">High </w:t>
                  </w:r>
                  <w:r w:rsidRPr="00300EBE">
                    <w:rPr>
                      <w:b/>
                      <w:iCs/>
                    </w:rPr>
                    <w:t>Test-Retest Reliability:</w:t>
                  </w:r>
                </w:p>
                <w:p w14:paraId="500917F1" w14:textId="5FB56E48" w:rsidR="005614F6" w:rsidRPr="00300EBE" w:rsidRDefault="005614F6" w:rsidP="00300EBE">
                  <w:pPr>
                    <w:spacing w:before="120" w:after="120" w:line="240" w:lineRule="auto"/>
                    <w:rPr>
                      <w:bCs/>
                      <w:iCs/>
                    </w:rPr>
                  </w:pPr>
                  <w:r w:rsidRPr="00300EBE">
                    <w:rPr>
                      <w:bCs/>
                      <w:iCs/>
                    </w:rPr>
                    <w:t>ICC = 0.92</w:t>
                  </w:r>
                </w:p>
                <w:p w14:paraId="25A45975" w14:textId="0D95315B" w:rsidR="005614F6" w:rsidRPr="00300EBE" w:rsidRDefault="005614F6" w:rsidP="00300EBE">
                  <w:pPr>
                    <w:spacing w:before="120" w:after="120" w:line="240" w:lineRule="auto"/>
                    <w:rPr>
                      <w:bCs/>
                      <w:iCs/>
                      <w:color w:val="00B050"/>
                    </w:rPr>
                  </w:pPr>
                </w:p>
                <w:p w14:paraId="44D82E4A" w14:textId="0D4D9648" w:rsidR="00D9656A" w:rsidRPr="00300EBE" w:rsidRDefault="00300EBE" w:rsidP="00300EBE">
                  <w:pPr>
                    <w:spacing w:before="120" w:after="120" w:line="240" w:lineRule="auto"/>
                    <w:rPr>
                      <w:bCs/>
                      <w:iCs/>
                      <w:sz w:val="16"/>
                      <w:szCs w:val="16"/>
                    </w:rPr>
                  </w:pPr>
                  <w:r w:rsidRPr="00300EBE">
                    <w:rPr>
                      <w:bCs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00EBE">
                    <w:rPr>
                      <w:bCs/>
                      <w:iCs/>
                      <w:sz w:val="16"/>
                      <w:szCs w:val="16"/>
                    </w:rPr>
                    <w:t>Shabany</w:t>
                  </w:r>
                  <w:proofErr w:type="spellEnd"/>
                  <w:r w:rsidRPr="00300EBE">
                    <w:rPr>
                      <w:bCs/>
                      <w:iCs/>
                      <w:sz w:val="16"/>
                      <w:szCs w:val="16"/>
                    </w:rPr>
                    <w:t xml:space="preserve"> et al. 2018; n=97; 77 males; mean (SD) age: 36.29 (11.49) years, 60 complete injuries, 77 paraplegia; mean (SD) duration: 4.36 (4.28) years</w:t>
                  </w:r>
                  <w:r w:rsidR="00AF3AC9">
                    <w:rPr>
                      <w:bCs/>
                      <w:iCs/>
                      <w:sz w:val="16"/>
                      <w:szCs w:val="16"/>
                    </w:rPr>
                    <w:t>; Persian version</w:t>
                  </w:r>
                  <w:r w:rsidRPr="00300EBE">
                    <w:rPr>
                      <w:bCs/>
                      <w:iCs/>
                      <w:sz w:val="16"/>
                      <w:szCs w:val="16"/>
                    </w:rPr>
                    <w:t>)</w:t>
                  </w:r>
                </w:p>
                <w:p w14:paraId="41C4E445" w14:textId="0B53828B" w:rsidR="005614F6" w:rsidRPr="00300EBE" w:rsidRDefault="00D9656A" w:rsidP="00300EBE">
                  <w:pPr>
                    <w:spacing w:before="120" w:after="120" w:line="240" w:lineRule="auto"/>
                    <w:rPr>
                      <w:rFonts w:cstheme="minorHAnsi"/>
                      <w:bCs/>
                      <w:iCs/>
                      <w:sz w:val="16"/>
                      <w:szCs w:val="16"/>
                    </w:rPr>
                  </w:pPr>
                  <w:r w:rsidRPr="00300EBE">
                    <w:rPr>
                      <w:rFonts w:cstheme="minorHAnsi"/>
                      <w:iCs/>
                      <w:sz w:val="16"/>
                      <w:szCs w:val="16"/>
                    </w:rPr>
                    <w:t xml:space="preserve">(Bloemen-Vrencken et al. 2007; </w:t>
                  </w:r>
                  <w:r w:rsidR="00300EBE" w:rsidRPr="00300EBE">
                    <w:rPr>
                      <w:rFonts w:cstheme="minorHAnsi"/>
                      <w:iCs/>
                      <w:sz w:val="16"/>
                      <w:szCs w:val="16"/>
                    </w:rPr>
                    <w:t>n</w:t>
                  </w:r>
                  <w:r w:rsidRPr="00300EBE">
                    <w:rPr>
                      <w:rFonts w:cstheme="minorHAnsi"/>
                      <w:iCs/>
                      <w:sz w:val="16"/>
                      <w:szCs w:val="16"/>
                    </w:rPr>
                    <w:t>=410</w:t>
                  </w:r>
                  <w:r w:rsidR="00300EBE" w:rsidRPr="00300EBE">
                    <w:rPr>
                      <w:rFonts w:cstheme="minorHAnsi"/>
                      <w:iCs/>
                      <w:sz w:val="16"/>
                      <w:szCs w:val="16"/>
                    </w:rPr>
                    <w:t>;</w:t>
                  </w:r>
                  <w:r w:rsidRPr="00300EBE">
                    <w:rPr>
                      <w:rFonts w:cstheme="minorHAnsi"/>
                      <w:iCs/>
                      <w:sz w:val="16"/>
                      <w:szCs w:val="16"/>
                    </w:rPr>
                    <w:t xml:space="preserve"> 66.1% males</w:t>
                  </w:r>
                  <w:r w:rsidR="00300EBE" w:rsidRPr="00300EBE">
                    <w:rPr>
                      <w:rFonts w:cstheme="minorHAnsi"/>
                      <w:iCs/>
                      <w:sz w:val="16"/>
                      <w:szCs w:val="16"/>
                    </w:rPr>
                    <w:t>;</w:t>
                  </w:r>
                  <w:r w:rsidRPr="00300EBE">
                    <w:rPr>
                      <w:rFonts w:cstheme="minorHAnsi"/>
                      <w:iCs/>
                      <w:sz w:val="16"/>
                      <w:szCs w:val="16"/>
                    </w:rPr>
                    <w:t xml:space="preserve"> mean (SD) age: 46.9 (13.2) years</w:t>
                  </w:r>
                  <w:r w:rsidR="00300EBE" w:rsidRPr="00300EBE">
                    <w:rPr>
                      <w:rFonts w:cstheme="minorHAnsi"/>
                      <w:iCs/>
                      <w:sz w:val="16"/>
                      <w:szCs w:val="16"/>
                    </w:rPr>
                    <w:t>;</w:t>
                  </w:r>
                  <w:r w:rsidRPr="00300EBE">
                    <w:rPr>
                      <w:rFonts w:cstheme="minorHAnsi"/>
                      <w:iCs/>
                      <w:sz w:val="16"/>
                      <w:szCs w:val="16"/>
                    </w:rPr>
                    <w:t xml:space="preserve"> </w:t>
                  </w:r>
                  <w:r w:rsidR="00300EBE" w:rsidRPr="00300EBE">
                    <w:rPr>
                      <w:rFonts w:cstheme="minorHAnsi"/>
                      <w:iCs/>
                      <w:sz w:val="16"/>
                      <w:szCs w:val="16"/>
                    </w:rPr>
                    <w:t xml:space="preserve">21.0% complete tetraplegia, 13.1% incomplete tetraplegia, 47.9% complete paraplegia, 17.9% incomplete paraplegia </w:t>
                  </w:r>
                  <w:r w:rsidRPr="00300EBE">
                    <w:rPr>
                      <w:rFonts w:cstheme="minorHAnsi"/>
                      <w:iCs/>
                      <w:sz w:val="16"/>
                      <w:szCs w:val="16"/>
                    </w:rPr>
                    <w:t>mean (SD) duration: 13.6 (10.7) years)</w:t>
                  </w:r>
                </w:p>
                <w:p w14:paraId="0187145C" w14:textId="77777777" w:rsidR="005614F6" w:rsidRPr="005614F6" w:rsidRDefault="005614F6" w:rsidP="0074258F">
                  <w:pPr>
                    <w:spacing w:after="0"/>
                    <w:rPr>
                      <w:bCs/>
                      <w:iCs/>
                      <w:sz w:val="16"/>
                      <w:szCs w:val="16"/>
                    </w:rPr>
                  </w:pPr>
                </w:p>
                <w:p w14:paraId="28EBBA7C" w14:textId="775E3935" w:rsidR="005614F6" w:rsidRPr="002729A3" w:rsidRDefault="005614F6" w:rsidP="0074258F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D9656A">
                    <w:rPr>
                      <w:rFonts w:cs="Arial"/>
                      <w:color w:val="000000"/>
                      <w:shd w:val="clear" w:color="auto" w:fill="FFFFFF"/>
                    </w:rPr>
                    <w:t>2</w:t>
                  </w:r>
                </w:p>
                <w:p w14:paraId="765DFF3C" w14:textId="77777777" w:rsidR="005614F6" w:rsidRDefault="005614F6" w:rsidP="0074258F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</w:p>
                <w:p w14:paraId="0F1598FC" w14:textId="77777777" w:rsidR="005614F6" w:rsidRPr="002A0AFB" w:rsidRDefault="005614F6" w:rsidP="0074258F">
                  <w:pPr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</w:p>
              </w:tc>
            </w:tr>
          </w:tbl>
          <w:p w14:paraId="2D3EB393" w14:textId="77777777" w:rsidR="005614F6" w:rsidRPr="002A0AFB" w:rsidRDefault="005614F6" w:rsidP="0074258F">
            <w:pPr>
              <w:rPr>
                <w:rFonts w:cs="Arial"/>
                <w:color w:val="FFFFFF" w:themeColor="background1"/>
              </w:rPr>
            </w:pPr>
          </w:p>
        </w:tc>
      </w:tr>
      <w:tr w:rsidR="005614F6" w:rsidRPr="00582CA3" w14:paraId="61E00B04" w14:textId="77777777" w:rsidTr="00742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7F89BB36" w14:textId="77777777" w:rsidR="005614F6" w:rsidRPr="002A0AFB" w:rsidRDefault="005614F6" w:rsidP="0074258F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5614F6" w14:paraId="7EE0B5E8" w14:textId="77777777" w:rsidTr="00742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6B1370CB" w14:textId="77777777" w:rsidR="005614F6" w:rsidRPr="002A0AFB" w:rsidRDefault="005614F6" w:rsidP="0074258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63DAFB81" w14:textId="77777777" w:rsidR="005614F6" w:rsidRPr="00341E59" w:rsidRDefault="005614F6" w:rsidP="0074258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Not established in SCI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62EF6318" w14:textId="77777777" w:rsidR="005614F6" w:rsidRPr="002A0AFB" w:rsidRDefault="005614F6" w:rsidP="0074258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2D0CCB55" w14:textId="3A0A543F" w:rsidR="005614F6" w:rsidRPr="00096708" w:rsidRDefault="00153604" w:rsidP="0074258F">
            <w:pPr>
              <w:pStyle w:val="Subttul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Not established in SCI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EE13EB7" w14:textId="4865C80E" w:rsidR="005614F6" w:rsidRDefault="005614F6" w:rsidP="0074258F">
            <w:pPr>
              <w:rPr>
                <w:rFonts w:cs="Arial"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300EBE" w:rsidRPr="00300EBE">
              <w:rPr>
                <w:rFonts w:cs="Arial"/>
                <w:bCs/>
                <w:color w:val="000000"/>
                <w:shd w:val="clear" w:color="auto" w:fill="FFFFFF"/>
              </w:rPr>
              <w:t>0</w:t>
            </w:r>
          </w:p>
          <w:p w14:paraId="022FCD39" w14:textId="08F20991" w:rsidR="005614F6" w:rsidRPr="00A27F9B" w:rsidRDefault="005614F6" w:rsidP="0074258F">
            <w:pPr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0DAF79F3" w14:textId="77777777" w:rsidR="005614F6" w:rsidRDefault="005614F6" w:rsidP="005614F6"/>
    <w:p w14:paraId="616A7672" w14:textId="77777777" w:rsidR="008F30A0" w:rsidRDefault="008F30A0"/>
    <w:sectPr w:rsidR="008F30A0" w:rsidSect="00973859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6"/>
    <w:rsid w:val="00085359"/>
    <w:rsid w:val="000C183A"/>
    <w:rsid w:val="00153604"/>
    <w:rsid w:val="001D3B57"/>
    <w:rsid w:val="00300EBE"/>
    <w:rsid w:val="00445835"/>
    <w:rsid w:val="004B3023"/>
    <w:rsid w:val="005614F6"/>
    <w:rsid w:val="005F285A"/>
    <w:rsid w:val="006210DD"/>
    <w:rsid w:val="0072780D"/>
    <w:rsid w:val="007B40E3"/>
    <w:rsid w:val="008A72C3"/>
    <w:rsid w:val="008F30A0"/>
    <w:rsid w:val="00AD5A20"/>
    <w:rsid w:val="00AF3AC9"/>
    <w:rsid w:val="00B00ED1"/>
    <w:rsid w:val="00CF3AB9"/>
    <w:rsid w:val="00D9656A"/>
    <w:rsid w:val="00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7746"/>
  <w15:docId w15:val="{A8A407B4-6796-4FEC-8FDF-95962C8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F6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14F6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14F6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5614F6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5614F6"/>
    <w:rPr>
      <w:rFonts w:eastAsiaTheme="minorEastAsia"/>
      <w:sz w:val="16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56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7E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sournia_m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Gurmaan Gill</dc:creator>
  <cp:keywords/>
  <dc:description/>
  <cp:lastModifiedBy>Carlos Leonardo Cano Herrera</cp:lastModifiedBy>
  <cp:revision>3</cp:revision>
  <dcterms:created xsi:type="dcterms:W3CDTF">2024-08-20T21:48:00Z</dcterms:created>
  <dcterms:modified xsi:type="dcterms:W3CDTF">2024-09-09T20:41:00Z</dcterms:modified>
</cp:coreProperties>
</file>