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D31CC" w14:textId="77777777" w:rsidR="00787E4F" w:rsidRPr="00340B3B" w:rsidRDefault="00787E4F">
      <w:pPr>
        <w:rPr>
          <w:rFonts w:ascii="Arial" w:hAnsi="Arial"/>
          <w:sz w:val="20"/>
          <w:szCs w:val="20"/>
        </w:rPr>
      </w:pPr>
    </w:p>
    <w:tbl>
      <w:tblPr>
        <w:tblW w:w="11220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3"/>
        <w:gridCol w:w="226"/>
        <w:gridCol w:w="1909"/>
        <w:gridCol w:w="1517"/>
        <w:gridCol w:w="347"/>
        <w:gridCol w:w="3549"/>
        <w:gridCol w:w="2589"/>
      </w:tblGrid>
      <w:tr w:rsidR="00A9785D" w:rsidRPr="00340B3B" w14:paraId="1C24297E" w14:textId="77777777" w:rsidTr="004C6ABC">
        <w:trPr>
          <w:trHeight w:val="360"/>
        </w:trPr>
        <w:tc>
          <w:tcPr>
            <w:tcW w:w="11220" w:type="dxa"/>
            <w:gridSpan w:val="7"/>
            <w:tcBorders>
              <w:top w:val="thinThickSmallGap" w:sz="24" w:space="0" w:color="000080"/>
              <w:left w:val="thinThickSmallGap" w:sz="24" w:space="0" w:color="000080"/>
              <w:right w:val="thinThickSmallGap" w:sz="24" w:space="0" w:color="000080"/>
            </w:tcBorders>
          </w:tcPr>
          <w:p w14:paraId="78AC53D8" w14:textId="5446057E" w:rsidR="00A9785D" w:rsidRPr="00340B3B" w:rsidRDefault="00A9785D">
            <w:pPr>
              <w:pStyle w:val="Heading1"/>
              <w:rPr>
                <w:b w:val="0"/>
                <w:szCs w:val="20"/>
              </w:rPr>
            </w:pPr>
            <w:r w:rsidRPr="00340B3B">
              <w:rPr>
                <w:szCs w:val="20"/>
              </w:rPr>
              <w:t xml:space="preserve">Reviewer ID: </w:t>
            </w:r>
            <w:r w:rsidRPr="00340B3B">
              <w:rPr>
                <w:b w:val="0"/>
                <w:szCs w:val="20"/>
              </w:rPr>
              <w:t>Jeff Tan</w:t>
            </w:r>
            <w:r w:rsidR="003E766E">
              <w:rPr>
                <w:b w:val="0"/>
                <w:szCs w:val="20"/>
              </w:rPr>
              <w:t>, John Zhu, Matthew Querée</w:t>
            </w:r>
            <w:r w:rsidR="000974D0">
              <w:rPr>
                <w:b w:val="0"/>
                <w:szCs w:val="20"/>
              </w:rPr>
              <w:t>, Joanne Chi</w:t>
            </w:r>
          </w:p>
          <w:p w14:paraId="06198586" w14:textId="77777777" w:rsidR="00A9785D" w:rsidRPr="00340B3B" w:rsidRDefault="00A9785D">
            <w:pPr>
              <w:pStyle w:val="Heading1"/>
              <w:rPr>
                <w:b w:val="0"/>
                <w:szCs w:val="20"/>
              </w:rPr>
            </w:pPr>
          </w:p>
        </w:tc>
      </w:tr>
      <w:tr w:rsidR="00787E4F" w:rsidRPr="00340B3B" w14:paraId="017D4597" w14:textId="77777777" w:rsidTr="00BA4164">
        <w:trPr>
          <w:trHeight w:val="360"/>
        </w:trPr>
        <w:tc>
          <w:tcPr>
            <w:tcW w:w="8631" w:type="dxa"/>
            <w:gridSpan w:val="6"/>
            <w:tcBorders>
              <w:left w:val="thinThickSmallGap" w:sz="24" w:space="0" w:color="000080"/>
            </w:tcBorders>
          </w:tcPr>
          <w:p w14:paraId="32588903" w14:textId="77777777" w:rsidR="00787E4F" w:rsidRPr="00340B3B" w:rsidRDefault="00787E4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0B3B">
              <w:rPr>
                <w:rFonts w:ascii="Arial" w:hAnsi="Arial" w:cs="Arial"/>
                <w:b/>
                <w:bCs/>
                <w:sz w:val="20"/>
                <w:szCs w:val="20"/>
              </w:rPr>
              <w:t>Type of Outcome Measure:</w:t>
            </w:r>
            <w:r w:rsidR="003D09F7" w:rsidRPr="00340B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C5A73" w:rsidRPr="00340B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E0395" w:rsidRPr="00340B3B">
              <w:rPr>
                <w:rFonts w:ascii="Arial" w:hAnsi="Arial" w:cs="Arial"/>
                <w:bCs/>
                <w:sz w:val="20"/>
                <w:szCs w:val="20"/>
              </w:rPr>
              <w:t>Quality of Life Profile for Adults with Physical Disabilities (QOLP-PD)</w:t>
            </w:r>
          </w:p>
        </w:tc>
        <w:tc>
          <w:tcPr>
            <w:tcW w:w="2589" w:type="dxa"/>
            <w:tcBorders>
              <w:right w:val="thinThickSmallGap" w:sz="24" w:space="0" w:color="000080"/>
            </w:tcBorders>
          </w:tcPr>
          <w:p w14:paraId="098D0173" w14:textId="77777777" w:rsidR="00787E4F" w:rsidRPr="00340B3B" w:rsidRDefault="00787E4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0B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articles: </w:t>
            </w:r>
            <w:r w:rsidR="00A9785D" w:rsidRPr="00A9785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A9785D" w:rsidRPr="00340B3B" w14:paraId="372E7756" w14:textId="77777777" w:rsidTr="00A9785D">
        <w:trPr>
          <w:trHeight w:val="210"/>
        </w:trPr>
        <w:tc>
          <w:tcPr>
            <w:tcW w:w="1309" w:type="dxa"/>
            <w:gridSpan w:val="2"/>
            <w:tcBorders>
              <w:left w:val="thinThickSmallGap" w:sz="24" w:space="0" w:color="000080"/>
            </w:tcBorders>
          </w:tcPr>
          <w:p w14:paraId="3DE356CC" w14:textId="77777777" w:rsidR="00A9785D" w:rsidRPr="00340B3B" w:rsidRDefault="00A978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340B3B">
              <w:rPr>
                <w:rFonts w:ascii="Arial" w:hAnsi="Arial"/>
                <w:b/>
                <w:bCs/>
                <w:sz w:val="20"/>
                <w:szCs w:val="20"/>
              </w:rPr>
              <w:t>Author ID</w:t>
            </w:r>
          </w:p>
          <w:p w14:paraId="558598A4" w14:textId="77777777" w:rsidR="00A9785D" w:rsidRPr="00340B3B" w:rsidRDefault="00A9785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340B3B">
              <w:rPr>
                <w:rFonts w:ascii="Arial" w:hAnsi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909" w:type="dxa"/>
          </w:tcPr>
          <w:p w14:paraId="013DAA4B" w14:textId="77777777" w:rsidR="00A9785D" w:rsidRPr="00340B3B" w:rsidRDefault="00A978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3B">
              <w:rPr>
                <w:rFonts w:ascii="Arial" w:hAnsi="Arial" w:cs="Arial"/>
                <w:b/>
                <w:bCs/>
                <w:sz w:val="20"/>
                <w:szCs w:val="20"/>
              </w:rPr>
              <w:t>Study Design</w:t>
            </w:r>
          </w:p>
        </w:tc>
        <w:tc>
          <w:tcPr>
            <w:tcW w:w="1864" w:type="dxa"/>
            <w:gridSpan w:val="2"/>
          </w:tcPr>
          <w:p w14:paraId="35BAA323" w14:textId="77777777" w:rsidR="00A9785D" w:rsidRPr="00340B3B" w:rsidRDefault="00A978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3B">
              <w:rPr>
                <w:rFonts w:ascii="Arial" w:hAnsi="Arial" w:cs="Arial"/>
                <w:b/>
                <w:bCs/>
                <w:sz w:val="20"/>
                <w:szCs w:val="20"/>
              </w:rPr>
              <w:t>Setting</w:t>
            </w:r>
          </w:p>
        </w:tc>
        <w:tc>
          <w:tcPr>
            <w:tcW w:w="6138" w:type="dxa"/>
            <w:gridSpan w:val="2"/>
            <w:tcBorders>
              <w:right w:val="thinThickSmallGap" w:sz="24" w:space="0" w:color="000080"/>
            </w:tcBorders>
          </w:tcPr>
          <w:p w14:paraId="54114FC7" w14:textId="77777777" w:rsidR="00A9785D" w:rsidRPr="00340B3B" w:rsidRDefault="00A9785D" w:rsidP="00A978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3B">
              <w:rPr>
                <w:rFonts w:ascii="Arial" w:hAnsi="Arial" w:cs="Arial"/>
                <w:b/>
                <w:bCs/>
                <w:sz w:val="20"/>
                <w:szCs w:val="20"/>
              </w:rPr>
              <w:t>Population (sample size, age)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Group</w:t>
            </w:r>
          </w:p>
        </w:tc>
      </w:tr>
      <w:tr w:rsidR="00A9785D" w:rsidRPr="00340B3B" w14:paraId="30813982" w14:textId="77777777" w:rsidTr="00C511DB">
        <w:trPr>
          <w:trHeight w:val="270"/>
        </w:trPr>
        <w:tc>
          <w:tcPr>
            <w:tcW w:w="1309" w:type="dxa"/>
            <w:gridSpan w:val="2"/>
            <w:tcBorders>
              <w:left w:val="thinThickSmallGap" w:sz="24" w:space="0" w:color="000080"/>
            </w:tcBorders>
            <w:shd w:val="clear" w:color="auto" w:fill="auto"/>
          </w:tcPr>
          <w:p w14:paraId="0CA4E341" w14:textId="77777777" w:rsidR="00A9785D" w:rsidRPr="00340B3B" w:rsidRDefault="00A9785D">
            <w:pPr>
              <w:rPr>
                <w:rFonts w:ascii="Arial" w:hAnsi="Arial"/>
                <w:sz w:val="20"/>
                <w:szCs w:val="20"/>
              </w:rPr>
            </w:pPr>
            <w:r w:rsidRPr="00340B3B">
              <w:rPr>
                <w:rFonts w:ascii="Arial" w:hAnsi="Arial"/>
                <w:sz w:val="20"/>
                <w:szCs w:val="20"/>
              </w:rPr>
              <w:t>Renwick et al.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340B3B">
              <w:rPr>
                <w:rFonts w:ascii="Arial" w:hAnsi="Arial"/>
                <w:sz w:val="20"/>
                <w:szCs w:val="20"/>
              </w:rPr>
              <w:t>2003</w:t>
            </w:r>
          </w:p>
        </w:tc>
        <w:tc>
          <w:tcPr>
            <w:tcW w:w="1909" w:type="dxa"/>
            <w:shd w:val="clear" w:color="auto" w:fill="auto"/>
          </w:tcPr>
          <w:p w14:paraId="2CAEF341" w14:textId="77777777" w:rsidR="00A9785D" w:rsidRPr="00340B3B" w:rsidRDefault="00A9785D">
            <w:pPr>
              <w:rPr>
                <w:rFonts w:ascii="Arial" w:hAnsi="Arial"/>
                <w:sz w:val="20"/>
                <w:szCs w:val="20"/>
              </w:rPr>
            </w:pPr>
            <w:r w:rsidRPr="00340B3B">
              <w:rPr>
                <w:rFonts w:ascii="Arial" w:hAnsi="Arial"/>
                <w:sz w:val="20"/>
                <w:szCs w:val="20"/>
              </w:rPr>
              <w:t>Cross-sectional study</w:t>
            </w:r>
          </w:p>
        </w:tc>
        <w:tc>
          <w:tcPr>
            <w:tcW w:w="1864" w:type="dxa"/>
            <w:gridSpan w:val="2"/>
            <w:shd w:val="clear" w:color="auto" w:fill="auto"/>
          </w:tcPr>
          <w:p w14:paraId="4EB6D8C2" w14:textId="77777777" w:rsidR="00A9785D" w:rsidRPr="00340B3B" w:rsidRDefault="00A9785D">
            <w:pPr>
              <w:rPr>
                <w:rFonts w:ascii="Arial" w:hAnsi="Arial"/>
                <w:sz w:val="20"/>
                <w:szCs w:val="20"/>
              </w:rPr>
            </w:pPr>
            <w:r w:rsidRPr="00340B3B">
              <w:rPr>
                <w:rFonts w:ascii="Arial" w:hAnsi="Arial"/>
                <w:sz w:val="20"/>
                <w:szCs w:val="20"/>
              </w:rPr>
              <w:t>Saskatoon, Saskatchewan</w:t>
            </w:r>
          </w:p>
        </w:tc>
        <w:tc>
          <w:tcPr>
            <w:tcW w:w="6138" w:type="dxa"/>
            <w:gridSpan w:val="2"/>
            <w:tcBorders>
              <w:right w:val="thinThickSmallGap" w:sz="24" w:space="0" w:color="000080"/>
            </w:tcBorders>
            <w:shd w:val="clear" w:color="auto" w:fill="auto"/>
          </w:tcPr>
          <w:p w14:paraId="57A663A4" w14:textId="77777777" w:rsidR="00A9785D" w:rsidRPr="00340B3B" w:rsidRDefault="00A9785D">
            <w:pPr>
              <w:rPr>
                <w:rFonts w:ascii="Arial" w:hAnsi="Arial"/>
                <w:sz w:val="20"/>
                <w:szCs w:val="20"/>
              </w:rPr>
            </w:pPr>
            <w:r w:rsidRPr="00340B3B">
              <w:rPr>
                <w:rFonts w:ascii="Arial" w:hAnsi="Arial"/>
                <w:sz w:val="20"/>
                <w:szCs w:val="20"/>
              </w:rPr>
              <w:t>N=40 (30 male, 10 female)</w:t>
            </w:r>
          </w:p>
          <w:p w14:paraId="25496A43" w14:textId="77777777" w:rsidR="00A9785D" w:rsidRDefault="00A9785D">
            <w:pPr>
              <w:rPr>
                <w:rFonts w:ascii="Arial" w:hAnsi="Arial"/>
                <w:sz w:val="20"/>
                <w:szCs w:val="20"/>
              </w:rPr>
            </w:pPr>
            <w:r w:rsidRPr="00340B3B">
              <w:rPr>
                <w:rFonts w:ascii="Arial" w:hAnsi="Arial"/>
                <w:sz w:val="20"/>
                <w:szCs w:val="20"/>
              </w:rPr>
              <w:t>Age: 35.85±9.29, range 16-61 years</w:t>
            </w:r>
          </w:p>
          <w:p w14:paraId="0C7E6476" w14:textId="77777777" w:rsidR="00A9785D" w:rsidRDefault="00122E7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Duration of injury: 2-30 years</w:t>
            </w:r>
          </w:p>
          <w:p w14:paraId="67E0A75B" w14:textId="77777777" w:rsidR="00A9785D" w:rsidRPr="00340B3B" w:rsidRDefault="00A9785D">
            <w:pPr>
              <w:rPr>
                <w:rFonts w:ascii="Arial" w:hAnsi="Arial"/>
                <w:sz w:val="20"/>
                <w:szCs w:val="20"/>
              </w:rPr>
            </w:pPr>
            <w:r w:rsidRPr="00340B3B">
              <w:rPr>
                <w:rFonts w:ascii="Arial" w:hAnsi="Arial"/>
                <w:sz w:val="20"/>
                <w:szCs w:val="20"/>
              </w:rPr>
              <w:t>Complete paraplegia &amp; Complete quadriplegia</w:t>
            </w:r>
          </w:p>
        </w:tc>
      </w:tr>
      <w:tr w:rsidR="00787E4F" w:rsidRPr="00340B3B" w14:paraId="42EEE2C4" w14:textId="77777777" w:rsidTr="00C511DB">
        <w:trPr>
          <w:trHeight w:val="390"/>
        </w:trPr>
        <w:tc>
          <w:tcPr>
            <w:tcW w:w="11220" w:type="dxa"/>
            <w:gridSpan w:val="7"/>
            <w:tcBorders>
              <w:left w:val="thinThickSmallGap" w:sz="24" w:space="0" w:color="000080"/>
              <w:right w:val="thinThickSmallGap" w:sz="24" w:space="0" w:color="000080"/>
            </w:tcBorders>
            <w:shd w:val="clear" w:color="auto" w:fill="auto"/>
          </w:tcPr>
          <w:p w14:paraId="6887F5D5" w14:textId="77777777" w:rsidR="00787E4F" w:rsidRPr="00340B3B" w:rsidRDefault="00787E4F">
            <w:pPr>
              <w:pStyle w:val="Heading1"/>
              <w:rPr>
                <w:szCs w:val="20"/>
              </w:rPr>
            </w:pPr>
            <w:r w:rsidRPr="00340B3B">
              <w:rPr>
                <w:szCs w:val="20"/>
              </w:rPr>
              <w:t>1. RELIABILITY</w:t>
            </w:r>
          </w:p>
        </w:tc>
      </w:tr>
      <w:tr w:rsidR="00A9785D" w:rsidRPr="00340B3B" w14:paraId="57653201" w14:textId="77777777" w:rsidTr="00C511DB">
        <w:trPr>
          <w:trHeight w:val="165"/>
        </w:trPr>
        <w:tc>
          <w:tcPr>
            <w:tcW w:w="1083" w:type="dxa"/>
            <w:tcBorders>
              <w:left w:val="thinThickSmallGap" w:sz="24" w:space="0" w:color="000080"/>
            </w:tcBorders>
            <w:shd w:val="clear" w:color="auto" w:fill="auto"/>
          </w:tcPr>
          <w:p w14:paraId="617E52BE" w14:textId="77777777" w:rsidR="00A9785D" w:rsidRPr="00340B3B" w:rsidRDefault="00A978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3B">
              <w:rPr>
                <w:rFonts w:ascii="Arial" w:hAnsi="Arial" w:cs="Arial"/>
                <w:b/>
                <w:bCs/>
                <w:sz w:val="20"/>
                <w:szCs w:val="20"/>
              </w:rPr>
              <w:t>Author ID</w:t>
            </w:r>
          </w:p>
        </w:tc>
        <w:tc>
          <w:tcPr>
            <w:tcW w:w="3652" w:type="dxa"/>
            <w:gridSpan w:val="3"/>
            <w:shd w:val="clear" w:color="auto" w:fill="auto"/>
          </w:tcPr>
          <w:p w14:paraId="46391F2F" w14:textId="77777777" w:rsidR="00A9785D" w:rsidRPr="00340B3B" w:rsidRDefault="00A978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3B">
              <w:rPr>
                <w:rFonts w:ascii="Arial" w:hAnsi="Arial" w:cs="Arial"/>
                <w:b/>
                <w:bCs/>
                <w:sz w:val="20"/>
                <w:szCs w:val="20"/>
              </w:rPr>
              <w:t>Internal Consistency</w:t>
            </w:r>
          </w:p>
        </w:tc>
        <w:tc>
          <w:tcPr>
            <w:tcW w:w="6485" w:type="dxa"/>
            <w:gridSpan w:val="3"/>
            <w:tcBorders>
              <w:right w:val="thinThickSmallGap" w:sz="24" w:space="0" w:color="000080"/>
            </w:tcBorders>
            <w:shd w:val="clear" w:color="auto" w:fill="auto"/>
          </w:tcPr>
          <w:p w14:paraId="186E37F3" w14:textId="77777777" w:rsidR="00A9785D" w:rsidRPr="00340B3B" w:rsidRDefault="00A978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Test-retest, Int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er-rater, Intra-rater</w:t>
            </w:r>
          </w:p>
        </w:tc>
      </w:tr>
      <w:tr w:rsidR="00A9785D" w:rsidRPr="00340B3B" w14:paraId="476B6401" w14:textId="77777777" w:rsidTr="00C511DB">
        <w:trPr>
          <w:trHeight w:val="287"/>
        </w:trPr>
        <w:tc>
          <w:tcPr>
            <w:tcW w:w="1083" w:type="dxa"/>
            <w:tcBorders>
              <w:left w:val="thinThickSmallGap" w:sz="24" w:space="0" w:color="000080"/>
            </w:tcBorders>
            <w:shd w:val="clear" w:color="auto" w:fill="auto"/>
          </w:tcPr>
          <w:p w14:paraId="603C2A33" w14:textId="0A817B61" w:rsidR="00A9785D" w:rsidRPr="00340B3B" w:rsidRDefault="00D661E6" w:rsidP="00D661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Renwick </w:t>
            </w:r>
            <w:r w:rsidR="00A9785D" w:rsidRPr="00340B3B">
              <w:rPr>
                <w:rFonts w:ascii="Arial" w:hAnsi="Arial"/>
                <w:sz w:val="20"/>
                <w:szCs w:val="20"/>
              </w:rPr>
              <w:t>et al.</w:t>
            </w:r>
            <w:r>
              <w:rPr>
                <w:rFonts w:ascii="Arial" w:hAnsi="Arial"/>
                <w:sz w:val="20"/>
                <w:szCs w:val="20"/>
              </w:rPr>
              <w:t xml:space="preserve"> 2003</w:t>
            </w:r>
          </w:p>
        </w:tc>
        <w:tc>
          <w:tcPr>
            <w:tcW w:w="3652" w:type="dxa"/>
            <w:gridSpan w:val="3"/>
            <w:shd w:val="clear" w:color="auto" w:fill="auto"/>
          </w:tcPr>
          <w:p w14:paraId="7F2BDE8F" w14:textId="77777777" w:rsidR="00A9785D" w:rsidRPr="00340B3B" w:rsidRDefault="00A9785D">
            <w:pPr>
              <w:rPr>
                <w:rFonts w:ascii="Arial" w:hAnsi="Arial" w:cs="Arial"/>
                <w:sz w:val="20"/>
                <w:szCs w:val="20"/>
              </w:rPr>
            </w:pPr>
            <w:r w:rsidRPr="00340B3B">
              <w:rPr>
                <w:rFonts w:ascii="Arial" w:hAnsi="Arial" w:cs="Arial"/>
                <w:sz w:val="20"/>
                <w:szCs w:val="20"/>
              </w:rPr>
              <w:t>Whole instrument α = 0.98</w:t>
            </w:r>
          </w:p>
          <w:p w14:paraId="510613B4" w14:textId="77777777" w:rsidR="00A9785D" w:rsidRPr="00340B3B" w:rsidRDefault="00A9785D">
            <w:pPr>
              <w:rPr>
                <w:rFonts w:ascii="Arial" w:hAnsi="Arial" w:cs="Arial"/>
                <w:sz w:val="20"/>
                <w:szCs w:val="20"/>
              </w:rPr>
            </w:pPr>
            <w:r w:rsidRPr="00340B3B">
              <w:rPr>
                <w:rFonts w:ascii="Arial" w:hAnsi="Arial" w:cs="Arial"/>
                <w:sz w:val="20"/>
                <w:szCs w:val="20"/>
              </w:rPr>
              <w:t>Being: α = 0.95</w:t>
            </w:r>
          </w:p>
          <w:p w14:paraId="712EAEB0" w14:textId="77777777" w:rsidR="00A9785D" w:rsidRPr="00340B3B" w:rsidRDefault="00A9785D">
            <w:pPr>
              <w:rPr>
                <w:rFonts w:ascii="Arial" w:hAnsi="Arial" w:cs="Arial"/>
                <w:sz w:val="20"/>
                <w:szCs w:val="20"/>
              </w:rPr>
            </w:pPr>
            <w:r w:rsidRPr="00340B3B">
              <w:rPr>
                <w:rFonts w:ascii="Arial" w:hAnsi="Arial" w:cs="Arial"/>
                <w:sz w:val="20"/>
                <w:szCs w:val="20"/>
              </w:rPr>
              <w:t>Belonging: α = 0.95</w:t>
            </w:r>
          </w:p>
          <w:p w14:paraId="26F08F06" w14:textId="77777777" w:rsidR="00A9785D" w:rsidRPr="00340B3B" w:rsidRDefault="00A9785D" w:rsidP="00C0071D">
            <w:pPr>
              <w:rPr>
                <w:rFonts w:ascii="Arial" w:hAnsi="Arial" w:cs="Arial"/>
                <w:sz w:val="20"/>
                <w:szCs w:val="20"/>
              </w:rPr>
            </w:pPr>
            <w:r w:rsidRPr="00340B3B">
              <w:rPr>
                <w:rFonts w:ascii="Arial" w:hAnsi="Arial" w:cs="Arial"/>
                <w:sz w:val="20"/>
                <w:szCs w:val="20"/>
              </w:rPr>
              <w:t xml:space="preserve">Becoming: α = 0.97 </w:t>
            </w:r>
          </w:p>
          <w:p w14:paraId="75ABA108" w14:textId="77777777" w:rsidR="00A9785D" w:rsidRPr="00340B3B" w:rsidRDefault="00A9785D" w:rsidP="00C007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4DB787" w14:textId="77777777" w:rsidR="00A9785D" w:rsidRPr="00340B3B" w:rsidRDefault="00A9785D" w:rsidP="00C0071D">
            <w:pPr>
              <w:rPr>
                <w:rFonts w:ascii="Arial" w:hAnsi="Arial" w:cs="Arial"/>
                <w:sz w:val="20"/>
                <w:szCs w:val="20"/>
              </w:rPr>
            </w:pPr>
            <w:r w:rsidRPr="00340B3B">
              <w:rPr>
                <w:rFonts w:ascii="Arial" w:hAnsi="Arial" w:cs="Arial"/>
                <w:sz w:val="20"/>
                <w:szCs w:val="20"/>
              </w:rPr>
              <w:t>Subscales range from α = 0.84 (Spiritual Being) to 0.93 (both Practical Becoming and Growth Becoming).</w:t>
            </w:r>
          </w:p>
          <w:p w14:paraId="44868731" w14:textId="77777777" w:rsidR="00A9785D" w:rsidRPr="00340B3B" w:rsidRDefault="00A978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  <w:tcBorders>
              <w:right w:val="thinThickSmallGap" w:sz="24" w:space="0" w:color="000080"/>
            </w:tcBorders>
            <w:shd w:val="clear" w:color="auto" w:fill="auto"/>
          </w:tcPr>
          <w:p w14:paraId="77FD31C6" w14:textId="77777777" w:rsidR="00A9785D" w:rsidRPr="00340B3B" w:rsidRDefault="00FF0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data available</w:t>
            </w:r>
          </w:p>
        </w:tc>
      </w:tr>
      <w:tr w:rsidR="00787E4F" w:rsidRPr="00340B3B" w14:paraId="5274FD46" w14:textId="77777777" w:rsidTr="00C511DB">
        <w:trPr>
          <w:trHeight w:val="345"/>
        </w:trPr>
        <w:tc>
          <w:tcPr>
            <w:tcW w:w="11220" w:type="dxa"/>
            <w:gridSpan w:val="7"/>
            <w:tcBorders>
              <w:left w:val="thinThickSmallGap" w:sz="24" w:space="0" w:color="000080"/>
              <w:right w:val="thinThickSmallGap" w:sz="24" w:space="0" w:color="000080"/>
            </w:tcBorders>
            <w:shd w:val="clear" w:color="auto" w:fill="auto"/>
          </w:tcPr>
          <w:p w14:paraId="7DE84391" w14:textId="77777777" w:rsidR="00787E4F" w:rsidRPr="00340B3B" w:rsidRDefault="00787E4F">
            <w:pPr>
              <w:pStyle w:val="Heading1"/>
              <w:rPr>
                <w:szCs w:val="20"/>
              </w:rPr>
            </w:pPr>
            <w:r w:rsidRPr="00340B3B">
              <w:rPr>
                <w:szCs w:val="20"/>
              </w:rPr>
              <w:t>2. VALIDITY</w:t>
            </w:r>
          </w:p>
        </w:tc>
      </w:tr>
      <w:tr w:rsidR="00A9785D" w:rsidRPr="00340B3B" w14:paraId="25E73563" w14:textId="77777777" w:rsidTr="00C511DB">
        <w:trPr>
          <w:trHeight w:val="345"/>
        </w:trPr>
        <w:tc>
          <w:tcPr>
            <w:tcW w:w="1083" w:type="dxa"/>
            <w:tcBorders>
              <w:left w:val="thinThickSmallGap" w:sz="24" w:space="0" w:color="000080"/>
            </w:tcBorders>
            <w:shd w:val="clear" w:color="auto" w:fill="auto"/>
          </w:tcPr>
          <w:p w14:paraId="6D2539F9" w14:textId="77777777" w:rsidR="00A9785D" w:rsidRPr="00340B3B" w:rsidRDefault="00A978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3B">
              <w:rPr>
                <w:rFonts w:ascii="Arial" w:hAnsi="Arial" w:cs="Arial"/>
                <w:b/>
                <w:bCs/>
                <w:sz w:val="20"/>
                <w:szCs w:val="20"/>
              </w:rPr>
              <w:t>Author ID</w:t>
            </w:r>
          </w:p>
        </w:tc>
        <w:tc>
          <w:tcPr>
            <w:tcW w:w="10137" w:type="dxa"/>
            <w:gridSpan w:val="6"/>
            <w:tcBorders>
              <w:right w:val="thinThickSmallGap" w:sz="24" w:space="0" w:color="000080"/>
            </w:tcBorders>
            <w:shd w:val="clear" w:color="auto" w:fill="auto"/>
          </w:tcPr>
          <w:p w14:paraId="482DF39A" w14:textId="77777777" w:rsidR="00A9785D" w:rsidRPr="00340B3B" w:rsidRDefault="00A978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Validity</w:t>
            </w:r>
          </w:p>
        </w:tc>
      </w:tr>
      <w:tr w:rsidR="00A9785D" w:rsidRPr="00340B3B" w14:paraId="7C7EC8AA" w14:textId="77777777" w:rsidTr="00C511DB">
        <w:trPr>
          <w:trHeight w:val="242"/>
        </w:trPr>
        <w:tc>
          <w:tcPr>
            <w:tcW w:w="1083" w:type="dxa"/>
            <w:tcBorders>
              <w:left w:val="thinThickSmallGap" w:sz="24" w:space="0" w:color="000080"/>
            </w:tcBorders>
            <w:shd w:val="clear" w:color="auto" w:fill="auto"/>
          </w:tcPr>
          <w:p w14:paraId="31F7D3A8" w14:textId="61B733BA" w:rsidR="00A9785D" w:rsidRPr="00340B3B" w:rsidRDefault="00D661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Renwick </w:t>
            </w:r>
            <w:r w:rsidR="00A9785D" w:rsidRPr="00340B3B">
              <w:rPr>
                <w:rFonts w:ascii="Arial" w:hAnsi="Arial"/>
                <w:sz w:val="20"/>
                <w:szCs w:val="20"/>
              </w:rPr>
              <w:t>et al.</w:t>
            </w:r>
            <w:r>
              <w:rPr>
                <w:rFonts w:ascii="Arial" w:hAnsi="Arial"/>
                <w:sz w:val="20"/>
                <w:szCs w:val="20"/>
              </w:rPr>
              <w:t xml:space="preserve"> 2003</w:t>
            </w:r>
          </w:p>
        </w:tc>
        <w:tc>
          <w:tcPr>
            <w:tcW w:w="10137" w:type="dxa"/>
            <w:gridSpan w:val="6"/>
            <w:tcBorders>
              <w:right w:val="thinThickSmallGap" w:sz="24" w:space="0" w:color="000080"/>
            </w:tcBorders>
            <w:shd w:val="clear" w:color="auto" w:fill="auto"/>
          </w:tcPr>
          <w:p w14:paraId="0B7FB2D2" w14:textId="77777777" w:rsidR="00A9785D" w:rsidRPr="00340B3B" w:rsidRDefault="00A9785D" w:rsidP="00B41434">
            <w:pPr>
              <w:rPr>
                <w:rFonts w:ascii="Arial" w:hAnsi="Arial" w:cs="Arial"/>
                <w:sz w:val="20"/>
                <w:szCs w:val="20"/>
              </w:rPr>
            </w:pPr>
            <w:r w:rsidRPr="00340B3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E2542">
              <w:rPr>
                <w:rFonts w:ascii="Arial" w:hAnsi="Arial" w:cs="Arial"/>
                <w:sz w:val="20"/>
                <w:szCs w:val="20"/>
              </w:rPr>
              <w:t>model was tested and item content was reviewed by adults with disabilities</w:t>
            </w:r>
            <w:r w:rsidRPr="00340B3B">
              <w:rPr>
                <w:rFonts w:ascii="Arial" w:hAnsi="Arial" w:cs="Arial"/>
                <w:sz w:val="20"/>
                <w:szCs w:val="20"/>
              </w:rPr>
              <w:t>.  The review of the item content and classification into the domains of the model by researchers and practitioners contributes to content validity.</w:t>
            </w:r>
          </w:p>
          <w:p w14:paraId="3CFBCD26" w14:textId="77777777" w:rsidR="00A9785D" w:rsidRDefault="00A9785D" w:rsidP="00DE472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2FA00C0" w14:textId="77777777" w:rsidR="00A9785D" w:rsidRPr="00340B3B" w:rsidRDefault="00A9785D" w:rsidP="00DE472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40B3B">
              <w:rPr>
                <w:rFonts w:ascii="Arial" w:hAnsi="Arial" w:cs="Arial"/>
                <w:sz w:val="20"/>
                <w:szCs w:val="20"/>
                <w:u w:val="single"/>
              </w:rPr>
              <w:t>Pearson correlations between adjusted total scores and sub-scale scores of the QOLP-PD</w:t>
            </w:r>
          </w:p>
          <w:p w14:paraId="6BFB8656" w14:textId="77777777" w:rsidR="00A9785D" w:rsidRPr="00340B3B" w:rsidRDefault="00A9785D" w:rsidP="00DE4723">
            <w:pPr>
              <w:rPr>
                <w:rFonts w:ascii="Arial" w:hAnsi="Arial" w:cs="Arial"/>
                <w:sz w:val="20"/>
                <w:szCs w:val="20"/>
              </w:rPr>
            </w:pPr>
            <w:r w:rsidRPr="00340B3B">
              <w:rPr>
                <w:rFonts w:ascii="Arial" w:hAnsi="Arial" w:cs="Arial"/>
                <w:sz w:val="20"/>
                <w:szCs w:val="20"/>
              </w:rPr>
              <w:t>Physical Being: r=0.63</w:t>
            </w:r>
          </w:p>
          <w:p w14:paraId="2B5D811D" w14:textId="77777777" w:rsidR="00A9785D" w:rsidRPr="00340B3B" w:rsidRDefault="00A9785D" w:rsidP="00DE4723">
            <w:pPr>
              <w:rPr>
                <w:rFonts w:ascii="Arial" w:hAnsi="Arial" w:cs="Arial"/>
                <w:sz w:val="20"/>
                <w:szCs w:val="20"/>
              </w:rPr>
            </w:pPr>
            <w:r w:rsidRPr="00340B3B">
              <w:rPr>
                <w:rFonts w:ascii="Arial" w:hAnsi="Arial" w:cs="Arial"/>
                <w:sz w:val="20"/>
                <w:szCs w:val="20"/>
              </w:rPr>
              <w:t>Psychological Being: r=0.75</w:t>
            </w:r>
          </w:p>
          <w:p w14:paraId="3D2EF05B" w14:textId="77777777" w:rsidR="00A9785D" w:rsidRPr="00340B3B" w:rsidRDefault="00A9785D" w:rsidP="00DE4723">
            <w:pPr>
              <w:rPr>
                <w:rFonts w:ascii="Arial" w:hAnsi="Arial" w:cs="Arial"/>
                <w:sz w:val="20"/>
                <w:szCs w:val="20"/>
              </w:rPr>
            </w:pPr>
            <w:r w:rsidRPr="00340B3B">
              <w:rPr>
                <w:rFonts w:ascii="Arial" w:hAnsi="Arial" w:cs="Arial"/>
                <w:sz w:val="20"/>
                <w:szCs w:val="20"/>
              </w:rPr>
              <w:t>Spiritual Being: r=0.78</w:t>
            </w:r>
          </w:p>
          <w:p w14:paraId="4CC79D16" w14:textId="77777777" w:rsidR="00A9785D" w:rsidRPr="00340B3B" w:rsidRDefault="00A9785D" w:rsidP="00DE4723">
            <w:pPr>
              <w:rPr>
                <w:rFonts w:ascii="Arial" w:hAnsi="Arial" w:cs="Arial"/>
                <w:sz w:val="20"/>
                <w:szCs w:val="20"/>
              </w:rPr>
            </w:pPr>
            <w:r w:rsidRPr="00340B3B">
              <w:rPr>
                <w:rFonts w:ascii="Arial" w:hAnsi="Arial" w:cs="Arial"/>
                <w:sz w:val="20"/>
                <w:szCs w:val="20"/>
              </w:rPr>
              <w:t>Physical Belonging: r=0.77</w:t>
            </w:r>
          </w:p>
          <w:p w14:paraId="20E24084" w14:textId="77777777" w:rsidR="00A9785D" w:rsidRPr="00340B3B" w:rsidRDefault="00A9785D" w:rsidP="00DE4723">
            <w:pPr>
              <w:rPr>
                <w:rFonts w:ascii="Arial" w:hAnsi="Arial" w:cs="Arial"/>
                <w:sz w:val="20"/>
                <w:szCs w:val="20"/>
              </w:rPr>
            </w:pPr>
            <w:r w:rsidRPr="00340B3B">
              <w:rPr>
                <w:rFonts w:ascii="Arial" w:hAnsi="Arial" w:cs="Arial"/>
                <w:sz w:val="20"/>
                <w:szCs w:val="20"/>
              </w:rPr>
              <w:t>Social Belonging: r=0.76</w:t>
            </w:r>
          </w:p>
          <w:p w14:paraId="22D1D488" w14:textId="77777777" w:rsidR="00A9785D" w:rsidRPr="00340B3B" w:rsidRDefault="00A9785D" w:rsidP="00DE4723">
            <w:pPr>
              <w:rPr>
                <w:rFonts w:ascii="Arial" w:hAnsi="Arial" w:cs="Arial"/>
                <w:sz w:val="20"/>
                <w:szCs w:val="20"/>
              </w:rPr>
            </w:pPr>
            <w:r w:rsidRPr="00340B3B">
              <w:rPr>
                <w:rFonts w:ascii="Arial" w:hAnsi="Arial" w:cs="Arial"/>
                <w:sz w:val="20"/>
                <w:szCs w:val="20"/>
              </w:rPr>
              <w:t>Community Belonging: r=0.72</w:t>
            </w:r>
          </w:p>
          <w:p w14:paraId="66D3314E" w14:textId="77777777" w:rsidR="00A9785D" w:rsidRPr="00340B3B" w:rsidRDefault="00A9785D" w:rsidP="00DE4723">
            <w:pPr>
              <w:rPr>
                <w:rFonts w:ascii="Arial" w:hAnsi="Arial" w:cs="Arial"/>
                <w:sz w:val="20"/>
                <w:szCs w:val="20"/>
              </w:rPr>
            </w:pPr>
            <w:r w:rsidRPr="00340B3B">
              <w:rPr>
                <w:rFonts w:ascii="Arial" w:hAnsi="Arial" w:cs="Arial"/>
                <w:sz w:val="20"/>
                <w:szCs w:val="20"/>
              </w:rPr>
              <w:t>Practical Becoming: r=0.78</w:t>
            </w:r>
          </w:p>
          <w:p w14:paraId="4F177D9D" w14:textId="77777777" w:rsidR="00A9785D" w:rsidRPr="00340B3B" w:rsidRDefault="00A9785D" w:rsidP="00DE4723">
            <w:pPr>
              <w:rPr>
                <w:rFonts w:ascii="Arial" w:hAnsi="Arial" w:cs="Arial"/>
                <w:sz w:val="20"/>
                <w:szCs w:val="20"/>
              </w:rPr>
            </w:pPr>
            <w:r w:rsidRPr="00340B3B">
              <w:rPr>
                <w:rFonts w:ascii="Arial" w:hAnsi="Arial" w:cs="Arial"/>
                <w:sz w:val="20"/>
                <w:szCs w:val="20"/>
              </w:rPr>
              <w:t>Leisure Becoming: r=0.87</w:t>
            </w:r>
          </w:p>
          <w:p w14:paraId="533AC8AD" w14:textId="77777777" w:rsidR="00A9785D" w:rsidRPr="00340B3B" w:rsidRDefault="00A9785D" w:rsidP="00DE4723">
            <w:pPr>
              <w:rPr>
                <w:rFonts w:ascii="Arial" w:hAnsi="Arial" w:cs="Arial"/>
                <w:sz w:val="20"/>
                <w:szCs w:val="20"/>
              </w:rPr>
            </w:pPr>
            <w:r w:rsidRPr="00340B3B">
              <w:rPr>
                <w:rFonts w:ascii="Arial" w:hAnsi="Arial" w:cs="Arial"/>
                <w:sz w:val="20"/>
                <w:szCs w:val="20"/>
              </w:rPr>
              <w:t>Growth Becoming: r=0.88</w:t>
            </w:r>
          </w:p>
          <w:p w14:paraId="11316A1F" w14:textId="77777777" w:rsidR="00A9785D" w:rsidRPr="00340B3B" w:rsidRDefault="00A9785D" w:rsidP="00DE47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C0CF80" w14:textId="77777777" w:rsidR="00A9785D" w:rsidRPr="00340B3B" w:rsidRDefault="00FF6848" w:rsidP="00DE4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significant at P≤</w:t>
            </w:r>
            <w:r w:rsidR="00A9785D" w:rsidRPr="00340B3B">
              <w:rPr>
                <w:rFonts w:ascii="Arial" w:hAnsi="Arial" w:cs="Arial"/>
                <w:sz w:val="20"/>
                <w:szCs w:val="20"/>
              </w:rPr>
              <w:t>.01</w:t>
            </w:r>
          </w:p>
          <w:p w14:paraId="12E529BC" w14:textId="77777777" w:rsidR="00A9785D" w:rsidRPr="00340B3B" w:rsidRDefault="00A978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E4F" w:rsidRPr="00340B3B" w14:paraId="40AABCCD" w14:textId="77777777" w:rsidTr="00C511DB">
        <w:trPr>
          <w:trHeight w:val="345"/>
        </w:trPr>
        <w:tc>
          <w:tcPr>
            <w:tcW w:w="11220" w:type="dxa"/>
            <w:gridSpan w:val="7"/>
            <w:tcBorders>
              <w:left w:val="thinThickSmallGap" w:sz="24" w:space="0" w:color="000080"/>
              <w:right w:val="thinThickSmallGap" w:sz="24" w:space="0" w:color="000080"/>
            </w:tcBorders>
            <w:shd w:val="clear" w:color="auto" w:fill="auto"/>
          </w:tcPr>
          <w:p w14:paraId="26E52AE1" w14:textId="506B2DA1" w:rsidR="00787E4F" w:rsidRPr="006956B7" w:rsidRDefault="00787E4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0B3B">
              <w:rPr>
                <w:rFonts w:ascii="Arial" w:hAnsi="Arial" w:cs="Arial"/>
                <w:b/>
                <w:bCs/>
                <w:sz w:val="20"/>
                <w:szCs w:val="20"/>
              </w:rPr>
              <w:t>3. RESPONSIVENESS</w:t>
            </w:r>
            <w:r w:rsidR="003E766E">
              <w:rPr>
                <w:rFonts w:ascii="Arial" w:hAnsi="Arial" w:cs="Arial"/>
                <w:bCs/>
                <w:sz w:val="20"/>
                <w:szCs w:val="20"/>
              </w:rPr>
              <w:t xml:space="preserve"> – N</w:t>
            </w:r>
            <w:r w:rsidR="006956B7">
              <w:rPr>
                <w:rFonts w:ascii="Arial" w:hAnsi="Arial" w:cs="Arial"/>
                <w:bCs/>
                <w:sz w:val="20"/>
                <w:szCs w:val="20"/>
              </w:rPr>
              <w:t>o data available</w:t>
            </w:r>
          </w:p>
        </w:tc>
      </w:tr>
      <w:tr w:rsidR="00A9785D" w:rsidRPr="00340B3B" w14:paraId="05F73152" w14:textId="77777777" w:rsidTr="00C511DB">
        <w:trPr>
          <w:trHeight w:val="197"/>
        </w:trPr>
        <w:tc>
          <w:tcPr>
            <w:tcW w:w="11220" w:type="dxa"/>
            <w:gridSpan w:val="7"/>
            <w:tcBorders>
              <w:left w:val="thinThickSmallGap" w:sz="24" w:space="0" w:color="000080"/>
              <w:right w:val="thinThickSmallGap" w:sz="24" w:space="0" w:color="000080"/>
            </w:tcBorders>
            <w:shd w:val="clear" w:color="auto" w:fill="auto"/>
          </w:tcPr>
          <w:p w14:paraId="7119CDC0" w14:textId="511459B9" w:rsidR="00A9785D" w:rsidRPr="006956B7" w:rsidRDefault="00A978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FLOOR/CEILING EFFECT</w:t>
            </w:r>
            <w:r w:rsidR="003E766E">
              <w:rPr>
                <w:rFonts w:ascii="Arial" w:hAnsi="Arial" w:cs="Arial"/>
                <w:sz w:val="20"/>
                <w:szCs w:val="20"/>
              </w:rPr>
              <w:t xml:space="preserve"> – N</w:t>
            </w:r>
            <w:r w:rsidR="006956B7">
              <w:rPr>
                <w:rFonts w:ascii="Arial" w:hAnsi="Arial" w:cs="Arial"/>
                <w:sz w:val="20"/>
                <w:szCs w:val="20"/>
              </w:rPr>
              <w:t>o data available</w:t>
            </w:r>
          </w:p>
        </w:tc>
      </w:tr>
      <w:tr w:rsidR="00787E4F" w:rsidRPr="00340B3B" w14:paraId="646EB638" w14:textId="77777777" w:rsidTr="00C511DB">
        <w:trPr>
          <w:trHeight w:val="260"/>
        </w:trPr>
        <w:tc>
          <w:tcPr>
            <w:tcW w:w="11220" w:type="dxa"/>
            <w:gridSpan w:val="7"/>
            <w:tcBorders>
              <w:left w:val="thinThickSmallGap" w:sz="24" w:space="0" w:color="000080"/>
              <w:right w:val="thinThickSmallGap" w:sz="24" w:space="0" w:color="000080"/>
            </w:tcBorders>
            <w:shd w:val="clear" w:color="auto" w:fill="auto"/>
          </w:tcPr>
          <w:p w14:paraId="772BBFEC" w14:textId="77777777" w:rsidR="00787E4F" w:rsidRPr="00340B3B" w:rsidRDefault="00A9785D">
            <w:pPr>
              <w:pStyle w:val="Heading1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BA4164">
              <w:rPr>
                <w:szCs w:val="20"/>
              </w:rPr>
              <w:t>. INTERPRETABILITY</w:t>
            </w:r>
          </w:p>
        </w:tc>
      </w:tr>
      <w:tr w:rsidR="00BA4164" w:rsidRPr="00340B3B" w14:paraId="4141B34B" w14:textId="77777777" w:rsidTr="00C511DB">
        <w:trPr>
          <w:trHeight w:val="210"/>
        </w:trPr>
        <w:tc>
          <w:tcPr>
            <w:tcW w:w="1309" w:type="dxa"/>
            <w:gridSpan w:val="2"/>
            <w:tcBorders>
              <w:left w:val="thinThickSmallGap" w:sz="24" w:space="0" w:color="000080"/>
              <w:right w:val="single" w:sz="4" w:space="0" w:color="auto"/>
            </w:tcBorders>
            <w:shd w:val="clear" w:color="auto" w:fill="auto"/>
          </w:tcPr>
          <w:p w14:paraId="06517B5B" w14:textId="77777777" w:rsidR="00BA4164" w:rsidRPr="00BA4164" w:rsidRDefault="00BA41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Author ID</w:t>
            </w:r>
          </w:p>
        </w:tc>
        <w:tc>
          <w:tcPr>
            <w:tcW w:w="9911" w:type="dxa"/>
            <w:gridSpan w:val="5"/>
            <w:tcBorders>
              <w:left w:val="single" w:sz="4" w:space="0" w:color="auto"/>
              <w:right w:val="thinThickSmallGap" w:sz="24" w:space="0" w:color="000080"/>
            </w:tcBorders>
            <w:shd w:val="clear" w:color="auto" w:fill="auto"/>
          </w:tcPr>
          <w:p w14:paraId="7EF612F1" w14:textId="77777777" w:rsidR="00BA4164" w:rsidRPr="00BA4164" w:rsidRDefault="00A978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Interpretability</w:t>
            </w:r>
          </w:p>
        </w:tc>
      </w:tr>
      <w:tr w:rsidR="00BA4164" w:rsidRPr="00340B3B" w14:paraId="32D0760D" w14:textId="77777777" w:rsidTr="00A9785D">
        <w:trPr>
          <w:trHeight w:val="460"/>
        </w:trPr>
        <w:tc>
          <w:tcPr>
            <w:tcW w:w="1309" w:type="dxa"/>
            <w:gridSpan w:val="2"/>
            <w:tcBorders>
              <w:left w:val="thinThickSmallGap" w:sz="24" w:space="0" w:color="000080"/>
              <w:right w:val="single" w:sz="4" w:space="0" w:color="auto"/>
            </w:tcBorders>
          </w:tcPr>
          <w:p w14:paraId="108814F2" w14:textId="77777777" w:rsidR="00BA4164" w:rsidRDefault="00BA4164" w:rsidP="00BA4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Renwick et al. 2003</w:t>
            </w:r>
          </w:p>
        </w:tc>
        <w:tc>
          <w:tcPr>
            <w:tcW w:w="9911" w:type="dxa"/>
            <w:gridSpan w:val="5"/>
            <w:tcBorders>
              <w:left w:val="single" w:sz="4" w:space="0" w:color="auto"/>
              <w:right w:val="thinThickSmallGap" w:sz="24" w:space="0" w:color="000080"/>
            </w:tcBorders>
          </w:tcPr>
          <w:p w14:paraId="4F985371" w14:textId="77777777" w:rsidR="00BA4164" w:rsidRDefault="00BA4164" w:rsidP="00BA4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individuals (mean (SD) age: 35.85 (9.29) years) with complete paraplegia or complete quadriplegia (duration of injury: 2-30 years)</w:t>
            </w:r>
          </w:p>
          <w:p w14:paraId="21C5F37D" w14:textId="77777777" w:rsidR="00BA4164" w:rsidRDefault="00BA4164" w:rsidP="00BA41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1AC94B" w14:textId="77777777" w:rsidR="00BA4164" w:rsidRDefault="00BA4164" w:rsidP="00BA4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Mean (SD) QOLP-PD scores: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14"/>
              <w:gridCol w:w="1511"/>
            </w:tblGrid>
            <w:tr w:rsidR="00BA4164" w:rsidRPr="00D32120" w14:paraId="631A458C" w14:textId="77777777" w:rsidTr="00D32120">
              <w:tc>
                <w:tcPr>
                  <w:tcW w:w="2514" w:type="dxa"/>
                  <w:shd w:val="clear" w:color="auto" w:fill="auto"/>
                </w:tcPr>
                <w:p w14:paraId="18A915A5" w14:textId="77777777" w:rsidR="00BA4164" w:rsidRPr="00D32120" w:rsidRDefault="00BA4164" w:rsidP="00BA416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32120">
                    <w:rPr>
                      <w:rFonts w:ascii="Arial" w:hAnsi="Arial" w:cs="Arial"/>
                      <w:b/>
                      <w:sz w:val="20"/>
                      <w:szCs w:val="20"/>
                    </w:rPr>
                    <w:t>Sub-scale:</w:t>
                  </w:r>
                </w:p>
              </w:tc>
              <w:tc>
                <w:tcPr>
                  <w:tcW w:w="1511" w:type="dxa"/>
                  <w:shd w:val="clear" w:color="auto" w:fill="auto"/>
                </w:tcPr>
                <w:p w14:paraId="29B014CA" w14:textId="77777777" w:rsidR="00BA4164" w:rsidRPr="00D32120" w:rsidRDefault="00BA4164" w:rsidP="00BA416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32120">
                    <w:rPr>
                      <w:rFonts w:ascii="Arial" w:hAnsi="Arial" w:cs="Arial"/>
                      <w:b/>
                      <w:sz w:val="20"/>
                      <w:szCs w:val="20"/>
                    </w:rPr>
                    <w:t>Mean (SD) score:</w:t>
                  </w:r>
                </w:p>
              </w:tc>
            </w:tr>
            <w:tr w:rsidR="00BA4164" w:rsidRPr="00D32120" w14:paraId="3D24A36C" w14:textId="77777777" w:rsidTr="00D32120">
              <w:tc>
                <w:tcPr>
                  <w:tcW w:w="2514" w:type="dxa"/>
                  <w:shd w:val="clear" w:color="auto" w:fill="auto"/>
                </w:tcPr>
                <w:p w14:paraId="01EB0699" w14:textId="77777777" w:rsidR="00BA4164" w:rsidRPr="00D32120" w:rsidRDefault="00BA4164" w:rsidP="00D321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120">
                    <w:rPr>
                      <w:rFonts w:ascii="Arial" w:hAnsi="Arial" w:cs="Arial"/>
                      <w:sz w:val="20"/>
                      <w:szCs w:val="20"/>
                    </w:rPr>
                    <w:t>Physical Being</w:t>
                  </w:r>
                </w:p>
              </w:tc>
              <w:tc>
                <w:tcPr>
                  <w:tcW w:w="1511" w:type="dxa"/>
                  <w:shd w:val="clear" w:color="auto" w:fill="auto"/>
                </w:tcPr>
                <w:p w14:paraId="3068BCED" w14:textId="77777777" w:rsidR="00BA4164" w:rsidRPr="00D32120" w:rsidRDefault="00BA4164" w:rsidP="00D321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120">
                    <w:rPr>
                      <w:rFonts w:ascii="Arial" w:hAnsi="Arial" w:cs="Arial"/>
                      <w:sz w:val="20"/>
                      <w:szCs w:val="20"/>
                    </w:rPr>
                    <w:t>2.05 (2.79)</w:t>
                  </w:r>
                </w:p>
              </w:tc>
            </w:tr>
            <w:tr w:rsidR="00BA4164" w:rsidRPr="00D32120" w14:paraId="1CF9C815" w14:textId="77777777" w:rsidTr="00D32120">
              <w:tc>
                <w:tcPr>
                  <w:tcW w:w="2514" w:type="dxa"/>
                  <w:shd w:val="clear" w:color="auto" w:fill="auto"/>
                </w:tcPr>
                <w:p w14:paraId="419E301D" w14:textId="77777777" w:rsidR="00BA4164" w:rsidRPr="00D32120" w:rsidRDefault="00BA4164" w:rsidP="00D321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12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Psychological Being</w:t>
                  </w:r>
                </w:p>
              </w:tc>
              <w:tc>
                <w:tcPr>
                  <w:tcW w:w="1511" w:type="dxa"/>
                  <w:shd w:val="clear" w:color="auto" w:fill="auto"/>
                </w:tcPr>
                <w:p w14:paraId="6CA8A61E" w14:textId="77777777" w:rsidR="00BA4164" w:rsidRPr="00D32120" w:rsidRDefault="00BA4164" w:rsidP="00D321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120">
                    <w:rPr>
                      <w:rFonts w:ascii="Arial" w:hAnsi="Arial" w:cs="Arial"/>
                      <w:sz w:val="20"/>
                      <w:szCs w:val="20"/>
                    </w:rPr>
                    <w:t>3.71 (2.92)</w:t>
                  </w:r>
                </w:p>
              </w:tc>
            </w:tr>
            <w:tr w:rsidR="00BA4164" w:rsidRPr="00D32120" w14:paraId="76BF8F85" w14:textId="77777777" w:rsidTr="00D32120">
              <w:tc>
                <w:tcPr>
                  <w:tcW w:w="2514" w:type="dxa"/>
                  <w:shd w:val="clear" w:color="auto" w:fill="auto"/>
                </w:tcPr>
                <w:p w14:paraId="357D98C8" w14:textId="77777777" w:rsidR="00BA4164" w:rsidRPr="00D32120" w:rsidRDefault="00BA4164" w:rsidP="00D321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120">
                    <w:rPr>
                      <w:rFonts w:ascii="Arial" w:hAnsi="Arial" w:cs="Arial"/>
                      <w:sz w:val="20"/>
                      <w:szCs w:val="20"/>
                    </w:rPr>
                    <w:t>Spiritual Being</w:t>
                  </w:r>
                </w:p>
              </w:tc>
              <w:tc>
                <w:tcPr>
                  <w:tcW w:w="1511" w:type="dxa"/>
                  <w:shd w:val="clear" w:color="auto" w:fill="auto"/>
                </w:tcPr>
                <w:p w14:paraId="2E5B119D" w14:textId="77777777" w:rsidR="00BA4164" w:rsidRPr="00D32120" w:rsidRDefault="00BA4164" w:rsidP="00D321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120">
                    <w:rPr>
                      <w:rFonts w:ascii="Arial" w:hAnsi="Arial" w:cs="Arial"/>
                      <w:sz w:val="20"/>
                      <w:szCs w:val="20"/>
                    </w:rPr>
                    <w:t>2.65 (2.29)</w:t>
                  </w:r>
                </w:p>
              </w:tc>
            </w:tr>
            <w:tr w:rsidR="00BA4164" w:rsidRPr="00D32120" w14:paraId="06F0E571" w14:textId="77777777" w:rsidTr="00D32120">
              <w:tc>
                <w:tcPr>
                  <w:tcW w:w="2514" w:type="dxa"/>
                  <w:shd w:val="clear" w:color="auto" w:fill="auto"/>
                </w:tcPr>
                <w:p w14:paraId="2DF1D934" w14:textId="77777777" w:rsidR="00BA4164" w:rsidRPr="00D32120" w:rsidRDefault="00BA4164" w:rsidP="00D321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120">
                    <w:rPr>
                      <w:rFonts w:ascii="Arial" w:hAnsi="Arial" w:cs="Arial"/>
                      <w:sz w:val="20"/>
                      <w:szCs w:val="20"/>
                    </w:rPr>
                    <w:t>Physical Belonging</w:t>
                  </w:r>
                </w:p>
              </w:tc>
              <w:tc>
                <w:tcPr>
                  <w:tcW w:w="1511" w:type="dxa"/>
                  <w:shd w:val="clear" w:color="auto" w:fill="auto"/>
                </w:tcPr>
                <w:p w14:paraId="32266B58" w14:textId="77777777" w:rsidR="00BA4164" w:rsidRPr="00D32120" w:rsidRDefault="00BA4164" w:rsidP="00D321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120">
                    <w:rPr>
                      <w:rFonts w:ascii="Arial" w:hAnsi="Arial" w:cs="Arial"/>
                      <w:sz w:val="20"/>
                      <w:szCs w:val="20"/>
                    </w:rPr>
                    <w:t>3.51 (2.73)</w:t>
                  </w:r>
                </w:p>
              </w:tc>
            </w:tr>
            <w:tr w:rsidR="00BA4164" w:rsidRPr="00D32120" w14:paraId="30F66685" w14:textId="77777777" w:rsidTr="00D32120">
              <w:tc>
                <w:tcPr>
                  <w:tcW w:w="2514" w:type="dxa"/>
                  <w:shd w:val="clear" w:color="auto" w:fill="auto"/>
                </w:tcPr>
                <w:p w14:paraId="629EC4B0" w14:textId="77777777" w:rsidR="00BA4164" w:rsidRPr="00D32120" w:rsidRDefault="00BA4164" w:rsidP="00D321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120">
                    <w:rPr>
                      <w:rFonts w:ascii="Arial" w:hAnsi="Arial" w:cs="Arial"/>
                      <w:sz w:val="20"/>
                      <w:szCs w:val="20"/>
                    </w:rPr>
                    <w:t>Social Belonging</w:t>
                  </w:r>
                </w:p>
              </w:tc>
              <w:tc>
                <w:tcPr>
                  <w:tcW w:w="1511" w:type="dxa"/>
                  <w:shd w:val="clear" w:color="auto" w:fill="auto"/>
                </w:tcPr>
                <w:p w14:paraId="7FEC8D51" w14:textId="77777777" w:rsidR="00BA4164" w:rsidRPr="00D32120" w:rsidRDefault="00BA4164" w:rsidP="00D321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120">
                    <w:rPr>
                      <w:rFonts w:ascii="Arial" w:hAnsi="Arial" w:cs="Arial"/>
                      <w:sz w:val="20"/>
                      <w:szCs w:val="20"/>
                    </w:rPr>
                    <w:t>2.75 (2.35)</w:t>
                  </w:r>
                </w:p>
              </w:tc>
            </w:tr>
            <w:tr w:rsidR="00BA4164" w:rsidRPr="00D32120" w14:paraId="49AD978D" w14:textId="77777777" w:rsidTr="00D32120">
              <w:tc>
                <w:tcPr>
                  <w:tcW w:w="2514" w:type="dxa"/>
                  <w:shd w:val="clear" w:color="auto" w:fill="auto"/>
                </w:tcPr>
                <w:p w14:paraId="77C7CD29" w14:textId="77777777" w:rsidR="00BA4164" w:rsidRPr="00D32120" w:rsidRDefault="00BA4164" w:rsidP="00D321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120">
                    <w:rPr>
                      <w:rFonts w:ascii="Arial" w:hAnsi="Arial" w:cs="Arial"/>
                      <w:sz w:val="20"/>
                      <w:szCs w:val="20"/>
                    </w:rPr>
                    <w:t>Community Belonging</w:t>
                  </w:r>
                </w:p>
              </w:tc>
              <w:tc>
                <w:tcPr>
                  <w:tcW w:w="1511" w:type="dxa"/>
                  <w:shd w:val="clear" w:color="auto" w:fill="auto"/>
                </w:tcPr>
                <w:p w14:paraId="47169DB9" w14:textId="77777777" w:rsidR="00BA4164" w:rsidRPr="00D32120" w:rsidRDefault="00BA4164" w:rsidP="00D321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120">
                    <w:rPr>
                      <w:rFonts w:ascii="Arial" w:hAnsi="Arial" w:cs="Arial"/>
                      <w:sz w:val="20"/>
                      <w:szCs w:val="20"/>
                    </w:rPr>
                    <w:t>2.24 (2.30)</w:t>
                  </w:r>
                </w:p>
              </w:tc>
            </w:tr>
            <w:tr w:rsidR="00BA4164" w:rsidRPr="00D32120" w14:paraId="507BDBAB" w14:textId="77777777" w:rsidTr="00D32120">
              <w:tc>
                <w:tcPr>
                  <w:tcW w:w="2514" w:type="dxa"/>
                  <w:shd w:val="clear" w:color="auto" w:fill="auto"/>
                </w:tcPr>
                <w:p w14:paraId="239BD1CB" w14:textId="77777777" w:rsidR="00BA4164" w:rsidRPr="00D32120" w:rsidRDefault="00BA4164" w:rsidP="00D321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120">
                    <w:rPr>
                      <w:rFonts w:ascii="Arial" w:hAnsi="Arial" w:cs="Arial"/>
                      <w:sz w:val="20"/>
                      <w:szCs w:val="20"/>
                    </w:rPr>
                    <w:t>Practical Becoming</w:t>
                  </w:r>
                </w:p>
              </w:tc>
              <w:tc>
                <w:tcPr>
                  <w:tcW w:w="1511" w:type="dxa"/>
                  <w:shd w:val="clear" w:color="auto" w:fill="auto"/>
                </w:tcPr>
                <w:p w14:paraId="2BCC1CDC" w14:textId="77777777" w:rsidR="00BA4164" w:rsidRPr="00D32120" w:rsidRDefault="00BA4164" w:rsidP="00D321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120">
                    <w:rPr>
                      <w:rFonts w:ascii="Arial" w:hAnsi="Arial" w:cs="Arial"/>
                      <w:sz w:val="20"/>
                      <w:szCs w:val="20"/>
                    </w:rPr>
                    <w:t>2.21 (3.04)</w:t>
                  </w:r>
                </w:p>
              </w:tc>
            </w:tr>
            <w:tr w:rsidR="00BA4164" w:rsidRPr="00D32120" w14:paraId="35EFFC27" w14:textId="77777777" w:rsidTr="00D32120">
              <w:tc>
                <w:tcPr>
                  <w:tcW w:w="2514" w:type="dxa"/>
                  <w:shd w:val="clear" w:color="auto" w:fill="auto"/>
                </w:tcPr>
                <w:p w14:paraId="3AA70E5B" w14:textId="77777777" w:rsidR="00BA4164" w:rsidRPr="00D32120" w:rsidRDefault="00BA4164" w:rsidP="00D321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120">
                    <w:rPr>
                      <w:rFonts w:ascii="Arial" w:hAnsi="Arial" w:cs="Arial"/>
                      <w:sz w:val="20"/>
                      <w:szCs w:val="20"/>
                    </w:rPr>
                    <w:t>Leisure Becoming</w:t>
                  </w:r>
                </w:p>
              </w:tc>
              <w:tc>
                <w:tcPr>
                  <w:tcW w:w="1511" w:type="dxa"/>
                  <w:shd w:val="clear" w:color="auto" w:fill="auto"/>
                </w:tcPr>
                <w:p w14:paraId="35DE8DBA" w14:textId="77777777" w:rsidR="00BA4164" w:rsidRPr="00D32120" w:rsidRDefault="00BA4164" w:rsidP="00D321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120">
                    <w:rPr>
                      <w:rFonts w:ascii="Arial" w:hAnsi="Arial" w:cs="Arial"/>
                      <w:sz w:val="20"/>
                      <w:szCs w:val="20"/>
                    </w:rPr>
                    <w:t>2.05 (2.50)</w:t>
                  </w:r>
                </w:p>
              </w:tc>
            </w:tr>
            <w:tr w:rsidR="00BA4164" w:rsidRPr="00D32120" w14:paraId="3E8ABA03" w14:textId="77777777" w:rsidTr="00D32120">
              <w:tc>
                <w:tcPr>
                  <w:tcW w:w="2514" w:type="dxa"/>
                  <w:shd w:val="clear" w:color="auto" w:fill="auto"/>
                </w:tcPr>
                <w:p w14:paraId="52A92701" w14:textId="77777777" w:rsidR="00BA4164" w:rsidRPr="00D32120" w:rsidRDefault="00BA4164" w:rsidP="00D321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120">
                    <w:rPr>
                      <w:rFonts w:ascii="Arial" w:hAnsi="Arial" w:cs="Arial"/>
                      <w:sz w:val="20"/>
                      <w:szCs w:val="20"/>
                    </w:rPr>
                    <w:t>Growth Becoming</w:t>
                  </w:r>
                </w:p>
              </w:tc>
              <w:tc>
                <w:tcPr>
                  <w:tcW w:w="1511" w:type="dxa"/>
                  <w:shd w:val="clear" w:color="auto" w:fill="auto"/>
                </w:tcPr>
                <w:p w14:paraId="3E4A2C1A" w14:textId="77777777" w:rsidR="00BA4164" w:rsidRPr="00D32120" w:rsidRDefault="00BA4164" w:rsidP="00D3212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2120">
                    <w:rPr>
                      <w:rFonts w:ascii="Arial" w:hAnsi="Arial" w:cs="Arial"/>
                      <w:sz w:val="20"/>
                      <w:szCs w:val="20"/>
                    </w:rPr>
                    <w:t>2.34 (2.81)</w:t>
                  </w:r>
                </w:p>
              </w:tc>
            </w:tr>
          </w:tbl>
          <w:p w14:paraId="6B0ED363" w14:textId="77777777" w:rsidR="00BA4164" w:rsidRDefault="00BA4164" w:rsidP="00BA41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4D9895" w14:textId="77777777" w:rsidR="00787E4F" w:rsidRPr="00340B3B" w:rsidRDefault="00787E4F">
      <w:pPr>
        <w:rPr>
          <w:rFonts w:ascii="Arial" w:hAnsi="Arial"/>
          <w:sz w:val="20"/>
          <w:szCs w:val="20"/>
        </w:rPr>
      </w:pPr>
    </w:p>
    <w:sectPr w:rsidR="00787E4F" w:rsidRPr="00340B3B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B1929" w14:textId="77777777" w:rsidR="009F1716" w:rsidRDefault="009F1716">
      <w:r>
        <w:separator/>
      </w:r>
    </w:p>
  </w:endnote>
  <w:endnote w:type="continuationSeparator" w:id="0">
    <w:p w14:paraId="56BC6245" w14:textId="77777777" w:rsidR="009F1716" w:rsidRDefault="009F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829CB" w14:textId="77777777" w:rsidR="009F1716" w:rsidRDefault="009F1716">
      <w:r>
        <w:separator/>
      </w:r>
    </w:p>
  </w:footnote>
  <w:footnote w:type="continuationSeparator" w:id="0">
    <w:p w14:paraId="3598542C" w14:textId="77777777" w:rsidR="009F1716" w:rsidRDefault="009F1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64CF1" w14:textId="432BB1D7" w:rsidR="00E16FAE" w:rsidRDefault="00E16FAE" w:rsidP="001C2F18">
    <w:pPr>
      <w:pStyle w:val="Header"/>
      <w:jc w:val="right"/>
    </w:pPr>
    <w:r>
      <w:t xml:space="preserve">Last Updated: </w:t>
    </w:r>
    <w:r w:rsidR="009B4FDC">
      <w:t>July.8, 2019</w:t>
    </w:r>
  </w:p>
  <w:p w14:paraId="4B626815" w14:textId="77777777" w:rsidR="00E951C9" w:rsidRPr="00E16FAE" w:rsidRDefault="00E951C9" w:rsidP="00E16F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E2"/>
    <w:rsid w:val="00013EDF"/>
    <w:rsid w:val="00033464"/>
    <w:rsid w:val="000352CD"/>
    <w:rsid w:val="00050551"/>
    <w:rsid w:val="000626FA"/>
    <w:rsid w:val="000720F4"/>
    <w:rsid w:val="00074998"/>
    <w:rsid w:val="0009417D"/>
    <w:rsid w:val="000974D0"/>
    <w:rsid w:val="000A34AB"/>
    <w:rsid w:val="000C211E"/>
    <w:rsid w:val="000C78B6"/>
    <w:rsid w:val="0012172D"/>
    <w:rsid w:val="00122E7C"/>
    <w:rsid w:val="001436A0"/>
    <w:rsid w:val="00152821"/>
    <w:rsid w:val="00165BBE"/>
    <w:rsid w:val="001746D0"/>
    <w:rsid w:val="00183C27"/>
    <w:rsid w:val="001A1D9C"/>
    <w:rsid w:val="001B0CBE"/>
    <w:rsid w:val="001C2F18"/>
    <w:rsid w:val="001C344B"/>
    <w:rsid w:val="001E2542"/>
    <w:rsid w:val="001E361F"/>
    <w:rsid w:val="001F3051"/>
    <w:rsid w:val="00270F95"/>
    <w:rsid w:val="00271F70"/>
    <w:rsid w:val="002944E2"/>
    <w:rsid w:val="002A0813"/>
    <w:rsid w:val="002C5A73"/>
    <w:rsid w:val="002D5F16"/>
    <w:rsid w:val="002F1825"/>
    <w:rsid w:val="00340B3B"/>
    <w:rsid w:val="00342140"/>
    <w:rsid w:val="00343DAC"/>
    <w:rsid w:val="00351B89"/>
    <w:rsid w:val="003B3960"/>
    <w:rsid w:val="003C13F5"/>
    <w:rsid w:val="003D09F7"/>
    <w:rsid w:val="003D21BD"/>
    <w:rsid w:val="003E766E"/>
    <w:rsid w:val="003F08F2"/>
    <w:rsid w:val="003F0C99"/>
    <w:rsid w:val="003F68E2"/>
    <w:rsid w:val="00413BBE"/>
    <w:rsid w:val="00433376"/>
    <w:rsid w:val="00441E38"/>
    <w:rsid w:val="004545A5"/>
    <w:rsid w:val="004562CD"/>
    <w:rsid w:val="00485D7D"/>
    <w:rsid w:val="004B774A"/>
    <w:rsid w:val="004C6ABC"/>
    <w:rsid w:val="004D6A69"/>
    <w:rsid w:val="004E0865"/>
    <w:rsid w:val="004E5CBB"/>
    <w:rsid w:val="00510CA6"/>
    <w:rsid w:val="005472CA"/>
    <w:rsid w:val="005477BC"/>
    <w:rsid w:val="0056179A"/>
    <w:rsid w:val="00580C21"/>
    <w:rsid w:val="005A3BDD"/>
    <w:rsid w:val="005B65C6"/>
    <w:rsid w:val="005B6BE5"/>
    <w:rsid w:val="005F5AA2"/>
    <w:rsid w:val="006204D5"/>
    <w:rsid w:val="006256DF"/>
    <w:rsid w:val="00641842"/>
    <w:rsid w:val="00645702"/>
    <w:rsid w:val="00664769"/>
    <w:rsid w:val="006956B7"/>
    <w:rsid w:val="006A01AF"/>
    <w:rsid w:val="006A7213"/>
    <w:rsid w:val="00713F5B"/>
    <w:rsid w:val="00714C72"/>
    <w:rsid w:val="00726A6B"/>
    <w:rsid w:val="00777B22"/>
    <w:rsid w:val="007873FF"/>
    <w:rsid w:val="00787E4F"/>
    <w:rsid w:val="0079591A"/>
    <w:rsid w:val="007A5368"/>
    <w:rsid w:val="008806F7"/>
    <w:rsid w:val="00883473"/>
    <w:rsid w:val="0089414D"/>
    <w:rsid w:val="008A3C27"/>
    <w:rsid w:val="008F7892"/>
    <w:rsid w:val="00926FA1"/>
    <w:rsid w:val="00992DD1"/>
    <w:rsid w:val="009B4FDC"/>
    <w:rsid w:val="009D5DBC"/>
    <w:rsid w:val="009E6831"/>
    <w:rsid w:val="009F1716"/>
    <w:rsid w:val="00A05A9E"/>
    <w:rsid w:val="00A64CA8"/>
    <w:rsid w:val="00A93B0C"/>
    <w:rsid w:val="00A9785D"/>
    <w:rsid w:val="00AD2647"/>
    <w:rsid w:val="00AE7202"/>
    <w:rsid w:val="00AF2600"/>
    <w:rsid w:val="00B00B0D"/>
    <w:rsid w:val="00B12FA5"/>
    <w:rsid w:val="00B16014"/>
    <w:rsid w:val="00B41434"/>
    <w:rsid w:val="00B71995"/>
    <w:rsid w:val="00B7352F"/>
    <w:rsid w:val="00BA1DAD"/>
    <w:rsid w:val="00BA2E49"/>
    <w:rsid w:val="00BA4164"/>
    <w:rsid w:val="00BA6222"/>
    <w:rsid w:val="00BB25F9"/>
    <w:rsid w:val="00BB41A5"/>
    <w:rsid w:val="00BC6254"/>
    <w:rsid w:val="00BD62B9"/>
    <w:rsid w:val="00BF0A1D"/>
    <w:rsid w:val="00C0071D"/>
    <w:rsid w:val="00C10CCA"/>
    <w:rsid w:val="00C1115C"/>
    <w:rsid w:val="00C33684"/>
    <w:rsid w:val="00C36C4E"/>
    <w:rsid w:val="00C511DB"/>
    <w:rsid w:val="00C546DD"/>
    <w:rsid w:val="00C63802"/>
    <w:rsid w:val="00C652A6"/>
    <w:rsid w:val="00CB257B"/>
    <w:rsid w:val="00CD526E"/>
    <w:rsid w:val="00D32120"/>
    <w:rsid w:val="00D661E6"/>
    <w:rsid w:val="00D70DC5"/>
    <w:rsid w:val="00D769AB"/>
    <w:rsid w:val="00DC123B"/>
    <w:rsid w:val="00DC49E1"/>
    <w:rsid w:val="00DC6D9C"/>
    <w:rsid w:val="00DE4723"/>
    <w:rsid w:val="00E16FAE"/>
    <w:rsid w:val="00E26354"/>
    <w:rsid w:val="00E45A34"/>
    <w:rsid w:val="00E709F6"/>
    <w:rsid w:val="00E84C06"/>
    <w:rsid w:val="00E951C9"/>
    <w:rsid w:val="00EE0395"/>
    <w:rsid w:val="00EF79C3"/>
    <w:rsid w:val="00F04D6B"/>
    <w:rsid w:val="00F43F83"/>
    <w:rsid w:val="00F52939"/>
    <w:rsid w:val="00FA15F5"/>
    <w:rsid w:val="00FE0210"/>
    <w:rsid w:val="00FE323A"/>
    <w:rsid w:val="00FF0757"/>
    <w:rsid w:val="00FF4D7D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C832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A4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E16FAE"/>
    <w:rPr>
      <w:sz w:val="24"/>
      <w:szCs w:val="24"/>
    </w:rPr>
  </w:style>
  <w:style w:type="character" w:styleId="CommentReference">
    <w:name w:val="annotation reference"/>
    <w:rsid w:val="00B160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60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6014"/>
  </w:style>
  <w:style w:type="paragraph" w:styleId="CommentSubject">
    <w:name w:val="annotation subject"/>
    <w:basedOn w:val="CommentText"/>
    <w:next w:val="CommentText"/>
    <w:link w:val="CommentSubjectChar"/>
    <w:rsid w:val="00B16014"/>
    <w:rPr>
      <w:b/>
      <w:bCs/>
    </w:rPr>
  </w:style>
  <w:style w:type="character" w:customStyle="1" w:styleId="CommentSubjectChar">
    <w:name w:val="Comment Subject Char"/>
    <w:link w:val="CommentSubject"/>
    <w:rsid w:val="00B16014"/>
    <w:rPr>
      <w:b/>
      <w:bCs/>
    </w:rPr>
  </w:style>
  <w:style w:type="paragraph" w:styleId="BalloonText">
    <w:name w:val="Balloon Text"/>
    <w:basedOn w:val="Normal"/>
    <w:link w:val="BalloonTextChar"/>
    <w:rsid w:val="00B160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160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A4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E16FAE"/>
    <w:rPr>
      <w:sz w:val="24"/>
      <w:szCs w:val="24"/>
    </w:rPr>
  </w:style>
  <w:style w:type="character" w:styleId="CommentReference">
    <w:name w:val="annotation reference"/>
    <w:rsid w:val="00B160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60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6014"/>
  </w:style>
  <w:style w:type="paragraph" w:styleId="CommentSubject">
    <w:name w:val="annotation subject"/>
    <w:basedOn w:val="CommentText"/>
    <w:next w:val="CommentText"/>
    <w:link w:val="CommentSubjectChar"/>
    <w:rsid w:val="00B16014"/>
    <w:rPr>
      <w:b/>
      <w:bCs/>
    </w:rPr>
  </w:style>
  <w:style w:type="character" w:customStyle="1" w:styleId="CommentSubjectChar">
    <w:name w:val="Comment Subject Char"/>
    <w:link w:val="CommentSubject"/>
    <w:rsid w:val="00B16014"/>
    <w:rPr>
      <w:b/>
      <w:bCs/>
    </w:rPr>
  </w:style>
  <w:style w:type="paragraph" w:styleId="BalloonText">
    <w:name w:val="Balloon Text"/>
    <w:basedOn w:val="Normal"/>
    <w:link w:val="BalloonTextChar"/>
    <w:rsid w:val="00B160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16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2: Outcome Measure Quality Characteristics Checklist</vt:lpstr>
    </vt:vector>
  </TitlesOfParts>
  <Company>St. Joseph's Health Centre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2: Outcome Measure Quality Characteristics Checklist</dc:title>
  <dc:creator>pallavel</dc:creator>
  <cp:lastModifiedBy>Research Lab</cp:lastModifiedBy>
  <cp:revision>6</cp:revision>
  <cp:lastPrinted>2005-10-04T20:17:00Z</cp:lastPrinted>
  <dcterms:created xsi:type="dcterms:W3CDTF">2016-02-25T18:04:00Z</dcterms:created>
  <dcterms:modified xsi:type="dcterms:W3CDTF">2019-08-26T20:07:00Z</dcterms:modified>
</cp:coreProperties>
</file>